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4" w:lineRule="auto"/>
        <w:jc w:val="center"/>
      </w:pPr>
      <w:r>
        <w:rPr>
          <w:b/>
          <w:color w:val="1E293B"/>
          <w:sz w:val="19"/>
        </w:rPr>
        <w:t>REPÚBLICA BOLIVARIANA DE VENEZUELA</w:t>
        <w:br/>
      </w:r>
      <w:r>
        <w:rPr>
          <w:b/>
          <w:color w:val="1E293B"/>
          <w:sz w:val="18"/>
        </w:rPr>
        <w:t>MINISTERIO DEL PODER POPULAR PARA LA EDUCACIÓN UNIVERSITARIA</w:t>
        <w:br/>
      </w:r>
      <w:r>
        <w:rPr>
          <w:b/>
          <w:color w:val="0F172A"/>
          <w:sz w:val="19"/>
        </w:rPr>
        <w:t>UNIVERSIDAD POLITÉCNICA TERRITORIAL DE LARA "ANDRÉS ELOY BLANCO" (UPTAEB)</w:t>
        <w:br/>
      </w:r>
      <w:r>
        <w:rPr>
          <w:b/>
          <w:color w:val="D97706"/>
          <w:sz w:val="18"/>
        </w:rPr>
        <w:t>PROGRAMA NACIONAL DE FORMACIÓN EN CONTADURÍA PÚBLICA</w:t>
        <w:br/>
      </w:r>
      <w:r>
        <w:rPr>
          <w:color w:val="64748B"/>
          <w:sz w:val="17"/>
        </w:rPr>
        <w:t>TRAYECTO 2 • SECCIÓN CO1413C • AÑO ACADÉMICO 2026</w:t>
      </w:r>
    </w:p>
    <w:p>
      <w:pPr>
        <w:spacing w:before="280" w:after="240" w:line="276" w:lineRule="auto"/>
        <w:jc w:val="center"/>
      </w:pPr>
      <w:r>
        <w:drawing>
          <wp:inline xmlns:a="http://schemas.openxmlformats.org/drawingml/2006/main" xmlns:pic="http://schemas.openxmlformats.org/drawingml/2006/picture">
            <wp:extent cx="1645920" cy="1645920"/>
            <wp:docPr id="1" name="Picture 1"/>
            <wp:cNvGraphicFramePr>
              <a:graphicFrameLocks noChangeAspect="1"/>
            </wp:cNvGraphicFramePr>
            <a:graphic>
              <a:graphicData uri="http://schemas.openxmlformats.org/drawingml/2006/picture">
                <pic:pic>
                  <pic:nvPicPr>
                    <pic:cNvPr id="0" name="logo.jpeg"/>
                    <pic:cNvPicPr/>
                  </pic:nvPicPr>
                  <pic:blipFill>
                    <a:blip r:embed="rId11"/>
                    <a:stretch>
                      <a:fillRect/>
                    </a:stretch>
                  </pic:blipFill>
                  <pic:spPr>
                    <a:xfrm>
                      <a:off x="0" y="0"/>
                      <a:ext cx="1645920" cy="1645920"/>
                    </a:xfrm>
                    <a:prstGeom prst="rect"/>
                  </pic:spPr>
                </pic:pic>
              </a:graphicData>
            </a:graphic>
          </wp:inline>
        </w:drawing>
      </w:r>
    </w:p>
    <w:p>
      <w:pPr>
        <w:spacing w:before="160" w:after="80" w:line="276" w:lineRule="auto"/>
        <w:jc w:val="center"/>
      </w:pPr>
      <w:r>
        <w:rPr>
          <w:b/>
          <w:color w:val="D97706"/>
          <w:sz w:val="22"/>
        </w:rPr>
        <w:t>[DOCUMENTO DE OPERACIÓN Y USUARIO FINAL]</w:t>
      </w:r>
    </w:p>
    <w:p>
      <w:pPr>
        <w:spacing w:before="40" w:after="120" w:line="276" w:lineRule="auto"/>
        <w:jc w:val="center"/>
      </w:pPr>
      <w:r>
        <w:rPr>
          <w:b/>
          <w:color w:val="0F172A"/>
          <w:sz w:val="42"/>
        </w:rPr>
        <w:t>MANUAL DE USUARIO Y OPERACIONES</w:t>
      </w:r>
    </w:p>
    <w:p>
      <w:pPr>
        <w:spacing w:before="0" w:after="320" w:line="276" w:lineRule="auto"/>
        <w:jc w:val="center"/>
      </w:pPr>
      <w:r>
        <w:rPr>
          <w:i/>
          <w:color w:val="64748B"/>
          <w:sz w:val="23"/>
        </w:rPr>
        <w:t>Guía Integral de Manejo del Sistema Automatizado de Ingresos, Egresos, Inventario, Punto de Venta y Cierre de Caja</w:t>
      </w:r>
    </w:p>
    <w:tbl>
      <w:tblPr>
        <w:tblW w:type="auto" w:w="0"/>
        <w:jc w:val="center"/>
        <w:tblLook w:firstColumn="1" w:firstRow="1" w:lastColumn="0" w:lastRow="0" w:noHBand="0" w:noVBand="1" w:val="04A0"/>
      </w:tblPr>
      <w:tblGrid>
        <w:gridCol w:w="9648"/>
      </w:tblGrid>
      <w:tr>
        <w:tc>
          <w:tcPr>
            <w:tcW w:type="dxa" w:w="8928"/>
            <w:shd w:fill="F8FAFC"/>
            <w:tcMar>
              <w:top w:w="120" w:type="dxa"/>
              <w:bottom w:w="120" w:type="dxa"/>
              <w:left w:w="160" w:type="dxa"/>
              <w:right w:w="160" w:type="dxa"/>
            </w:tcMar>
            <w:tcBorders>
              <w:top w:val="single" w:sz="12" w:space="0" w:color="D97706"/>
              <w:bottom w:val="single" w:sz="12" w:space="0" w:color="D97706"/>
              <w:left w:val="none" w:sz="0" w:space="0" w:color="auto"/>
              <w:right w:val="none" w:sz="0" w:space="0" w:color="auto"/>
            </w:tcBorders>
          </w:tcPr>
          <w:p>
            <w:pPr>
              <w:spacing w:before="0" w:after="0" w:line="276" w:lineRule="auto"/>
              <w:jc w:val="center"/>
            </w:pPr>
            <w:r>
              <w:rPr>
                <w:b/>
                <w:color w:val="0F172A"/>
                <w:sz w:val="18"/>
              </w:rPr>
              <w:t>EMPRESA BENEFICIARIA:</w:t>
              <w:br/>
            </w:r>
            <w:r>
              <w:rPr>
                <w:color w:val="334155"/>
                <w:sz w:val="18"/>
              </w:rPr>
              <w:t>LA SALSA DE AJO C.A. • RIF: J-50284719-0 • DUACA, EDO. LARA</w:t>
              <w:br/>
              <w:br/>
            </w:r>
            <w:r>
              <w:rPr>
                <w:b/>
                <w:color w:val="0F172A"/>
                <w:sz w:val="18"/>
              </w:rPr>
              <w:t>EQUIPO DE INVESTIGACIÓN / AUTORAS:</w:t>
              <w:br/>
            </w:r>
            <w:r>
              <w:rPr>
                <w:color w:val="334155"/>
                <w:sz w:val="18"/>
              </w:rPr>
              <w:t>Mariangela (Propietaria / Investigadora) • Dayli De Los Ángeles • Equipo PNF Contaduría</w:t>
              <w:br/>
              <w:br/>
            </w:r>
            <w:r>
              <w:rPr>
                <w:b/>
                <w:color w:val="0F172A"/>
                <w:sz w:val="18"/>
              </w:rPr>
              <w:t>TUTOR ACADÉMICO DEL PROYECTO:</w:t>
              <w:br/>
            </w:r>
            <w:r>
              <w:rPr>
                <w:color w:val="334155"/>
                <w:sz w:val="18"/>
              </w:rPr>
              <w:t>Prof. Félix Álvarez • PNF Contaduría Pública • UPTAEB</w:t>
              <w:br/>
              <w:br/>
            </w:r>
            <w:r>
              <w:rPr>
                <w:i/>
                <w:color w:val="64748B"/>
                <w:sz w:val="17"/>
              </w:rPr>
              <w:t>Barquisimeto / Duaca, Septiembre de 2026</w:t>
            </w:r>
          </w:p>
        </w:tc>
      </w:tr>
    </w:tbl>
    <w:p>
      <w:r>
        <w:br w:type="page"/>
      </w:r>
    </w:p>
    <w:p>
      <w:pPr>
        <w:pStyle w:val="Heading1"/>
        <w:spacing w:before="280" w:after="120" w:line="276" w:lineRule="auto"/>
      </w:pPr>
      <w:r>
        <w:rPr>
          <w:rFonts w:ascii="Calibri" w:hAnsi="Calibri"/>
          <w:b/>
          <w:color w:val="0F172A"/>
          <w:sz w:val="32"/>
        </w:rPr>
        <w:t>ÍNDICE GENERAL DEL MANUAL</w:t>
      </w:r>
    </w:p>
    <w:tbl>
      <w:tblPr>
        <w:tblW w:type="auto" w:w="0"/>
        <w:jc w:val="center"/>
        <w:tblLayout w:type="fixed"/>
        <w:tblLook w:firstColumn="1" w:firstRow="1" w:lastColumn="0" w:lastRow="0" w:noHBand="0" w:noVBand="1" w:val="04A0"/>
      </w:tblPr>
      <w:tblGrid>
        <w:gridCol w:w="4824"/>
        <w:gridCol w:w="4824"/>
      </w:tblGrid>
      <w:tr>
        <w:tc>
          <w:tcPr>
            <w:tcW w:type="dxa" w:w="7920"/>
            <w:shd w:fill="0F172A"/>
            <w:tcMar>
              <w:top w:w="110" w:type="dxa"/>
              <w:bottom w:w="110" w:type="dxa"/>
              <w:left w:w="130" w:type="dxa"/>
              <w:right w:w="130" w:type="dxa"/>
            </w:tcMar>
          </w:tcPr>
          <w:p>
            <w:pPr>
              <w:spacing w:before="0" w:after="0"/>
              <w:jc w:val="center"/>
            </w:pPr>
            <w:r>
              <w:rPr>
                <w:rFonts w:ascii="Calibri" w:hAnsi="Calibri"/>
                <w:b/>
                <w:color w:val="FFFFFF"/>
                <w:sz w:val="19"/>
              </w:rPr>
              <w:t>Contenido Temático</w:t>
            </w:r>
          </w:p>
        </w:tc>
        <w:tc>
          <w:tcPr>
            <w:tcW w:type="dxa" w:w="1728"/>
            <w:shd w:fill="0F172A"/>
            <w:tcMar>
              <w:top w:w="110" w:type="dxa"/>
              <w:bottom w:w="110" w:type="dxa"/>
              <w:left w:w="130" w:type="dxa"/>
              <w:right w:w="130" w:type="dxa"/>
            </w:tcMar>
          </w:tcPr>
          <w:p>
            <w:pPr>
              <w:spacing w:before="0" w:after="0"/>
              <w:jc w:val="center"/>
            </w:pPr>
            <w:r>
              <w:rPr>
                <w:rFonts w:ascii="Calibri" w:hAnsi="Calibri"/>
                <w:b/>
                <w:color w:val="FFFFFF"/>
                <w:sz w:val="19"/>
              </w:rPr>
              <w:t>Pág.</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 Introducción y Propósito del Sistema</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3</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2. Requisitos Técnicos y Puesta en Marcha (Modo Offline / PWA)</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3</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3. Acceso y Sistema de Seguridad con PIN</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4</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4. Entorno General y Barra Superior de Parámetros</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5</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5. Módulo 1: Tablero Principal (Dashboard de Ingresos y Egresos)</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6</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6. Módulo 2: Punto de Venta (POS) y Facturación con Ticket</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8</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7. Módulo 3: Control de Inventario y Existencias</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10</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8. Módulo 4: Registro de Gastos y Salidas de Efectivo</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12</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9. Módulo 5: Arqueo y Cierre Diario de Caja</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14</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10. Módulo 6: Reportes Contables y Resultado de Saldos</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16</w:t>
            </w:r>
          </w:p>
        </w:tc>
      </w:tr>
      <w:tr>
        <w:tc>
          <w:tcPr>
            <w:tcW w:type="dxa" w:w="792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11. Módulo 7: Ajustes, Copias de Seguridad (Backup) y Restauración</w:t>
            </w:r>
          </w:p>
        </w:tc>
        <w:tc>
          <w:tcPr>
            <w:tcW w:type="dxa" w:w="172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18</w:t>
            </w:r>
          </w:p>
        </w:tc>
      </w:tr>
      <w:tr>
        <w:tc>
          <w:tcPr>
            <w:tcW w:type="dxa" w:w="792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12. Preguntas Frecuentes, Atajos y Buenas Prácticas Operativas</w:t>
            </w:r>
          </w:p>
        </w:tc>
        <w:tc>
          <w:tcPr>
            <w:tcW w:type="dxa" w:w="172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20</w:t>
            </w:r>
          </w:p>
        </w:tc>
      </w:tr>
    </w:tbl>
    <w:p>
      <w:pPr>
        <w:spacing w:after="240"/>
      </w:pPr>
    </w:p>
    <w:p>
      <w:pPr>
        <w:pStyle w:val="Heading1"/>
        <w:spacing w:before="280" w:after="120" w:line="276" w:lineRule="auto"/>
      </w:pPr>
      <w:r>
        <w:rPr>
          <w:rFonts w:ascii="Calibri" w:hAnsi="Calibri"/>
          <w:b/>
          <w:color w:val="0F172A"/>
          <w:sz w:val="32"/>
        </w:rPr>
        <w:t>1. INTRODUCCIÓN Y PROPÓSITO DEL SISTEMA</w:t>
      </w:r>
    </w:p>
    <w:p>
      <w:pPr>
        <w:spacing w:before="0" w:after="100" w:line="276" w:lineRule="auto"/>
      </w:pPr>
      <w:r>
        <w:rPr>
          <w:rFonts w:ascii="Calibri" w:hAnsi="Calibri"/>
          <w:i w:val="0"/>
          <w:color w:val="334155"/>
          <w:sz w:val="21"/>
        </w:rPr>
        <w:t>El presente Manual de Usuario tiene como finalidad servir de guía práctica, operativa y de consulta permanente para el uso del Sistema Automatizado de Control de Ingresos, Egresos, Inventario y Flujo de Efectivo, diseñado específicamente para la empresa 'La Salsa de Ajo C.A.', ubicada en Duaca, Municipio Crespo del Estado Lara.</w:t>
      </w:r>
    </w:p>
    <w:p>
      <w:pPr>
        <w:spacing w:before="0" w:after="100" w:line="276" w:lineRule="auto"/>
      </w:pPr>
      <w:r>
        <w:rPr>
          <w:rFonts w:ascii="Calibri" w:hAnsi="Calibri"/>
          <w:i w:val="0"/>
          <w:color w:val="334155"/>
          <w:sz w:val="21"/>
        </w:rPr>
        <w:t>Este desarrollo surge como respuesta técnica e innovadora dentro del marco del Proyecto Socio-Integrador del Programa Nacional de Formación (PNF) en Contaduría Pública (Trayecto 2, Sección CO1413C) de la Universidad Politécnica Territorial de Lara 'Andrés Eloy Blanco' (UPTAEB), bajo las directrices académicas orientadas por el Prof. Félix Álvarez.</w:t>
      </w:r>
    </w:p>
    <w:p>
      <w:pPr>
        <w:pStyle w:val="Heading2"/>
        <w:spacing w:before="200" w:after="80" w:line="276" w:lineRule="auto"/>
      </w:pPr>
      <w:r>
        <w:rPr>
          <w:rFonts w:ascii="Calibri" w:hAnsi="Calibri"/>
          <w:b/>
          <w:color w:val="D97706"/>
          <w:sz w:val="26"/>
        </w:rPr>
        <w:t>1.1. Problemática Contable que Resuelve</w:t>
      </w:r>
    </w:p>
    <w:p>
      <w:pPr>
        <w:spacing w:before="0" w:after="100" w:line="276" w:lineRule="auto"/>
      </w:pPr>
      <w:r>
        <w:rPr>
          <w:rFonts w:ascii="Calibri" w:hAnsi="Calibri"/>
          <w:b/>
          <w:color w:val="0F172A"/>
          <w:sz w:val="21"/>
        </w:rPr>
        <w:t xml:space="preserve">Contexto Operativo: </w:t>
      </w:r>
      <w:r>
        <w:rPr>
          <w:rFonts w:ascii="Calibri" w:hAnsi="Calibri"/>
          <w:i w:val="0"/>
          <w:color w:val="334155"/>
          <w:sz w:val="21"/>
        </w:rPr>
        <w:t>En los negocios del sector comercial de alimentos (charcuterías, salsas artesanales y víveres), el registro manual en cuadernos genera múltiples debilidades de control interno:</w:t>
      </w:r>
    </w:p>
    <w:p>
      <w:pPr>
        <w:pStyle w:val="ListBullet"/>
        <w:spacing w:before="0" w:after="60" w:line="276" w:lineRule="auto"/>
      </w:pPr>
      <w:r>
        <w:rPr>
          <w:rFonts w:ascii="Calibri" w:hAnsi="Calibri"/>
          <w:b/>
          <w:color w:val="0F172A"/>
          <w:sz w:val="20"/>
        </w:rPr>
        <w:t xml:space="preserve">Riesgo de cálculo: </w:t>
      </w:r>
      <w:r>
        <w:rPr>
          <w:rFonts w:ascii="Calibri" w:hAnsi="Calibri"/>
          <w:color w:val="334155"/>
          <w:sz w:val="20"/>
        </w:rPr>
        <w:t>Cálculos matemáticos propensos a error humano al sumar ventas del día y restar gastos.</w:t>
      </w:r>
    </w:p>
    <w:p>
      <w:pPr>
        <w:pStyle w:val="ListBullet"/>
        <w:spacing w:before="0" w:after="60" w:line="276" w:lineRule="auto"/>
      </w:pPr>
      <w:r>
        <w:rPr>
          <w:rFonts w:ascii="Calibri" w:hAnsi="Calibri"/>
          <w:b/>
          <w:color w:val="0F172A"/>
          <w:sz w:val="20"/>
        </w:rPr>
        <w:t xml:space="preserve">Control de stock: </w:t>
      </w:r>
      <w:r>
        <w:rPr>
          <w:rFonts w:ascii="Calibri" w:hAnsi="Calibri"/>
          <w:color w:val="334155"/>
          <w:sz w:val="20"/>
        </w:rPr>
        <w:t>Dificultad para controlar inventarios fraccionados por kilogramos, frascos o unidades en tiempo real.</w:t>
      </w:r>
    </w:p>
    <w:p>
      <w:pPr>
        <w:pStyle w:val="ListBullet"/>
        <w:spacing w:before="0" w:after="60" w:line="276" w:lineRule="auto"/>
      </w:pPr>
      <w:r>
        <w:rPr>
          <w:rFonts w:ascii="Calibri" w:hAnsi="Calibri"/>
          <w:b/>
          <w:color w:val="0F172A"/>
          <w:sz w:val="20"/>
        </w:rPr>
        <w:t xml:space="preserve">Complejidad bimonetaria: </w:t>
      </w:r>
      <w:r>
        <w:rPr>
          <w:rFonts w:ascii="Calibri" w:hAnsi="Calibri"/>
          <w:color w:val="334155"/>
          <w:sz w:val="20"/>
        </w:rPr>
        <w:t>Distorsión por multimoneda al cobrar simultáneamente en Divisas (USD), Bolívares en efectivo, Pago Móvil, Punto de Venta o Biopago.</w:t>
      </w:r>
    </w:p>
    <w:p>
      <w:pPr>
        <w:pStyle w:val="ListBullet"/>
        <w:spacing w:before="0" w:after="60" w:line="276" w:lineRule="auto"/>
      </w:pPr>
      <w:r>
        <w:rPr>
          <w:rFonts w:ascii="Calibri" w:hAnsi="Calibri"/>
          <w:b/>
          <w:color w:val="0F172A"/>
          <w:sz w:val="20"/>
        </w:rPr>
        <w:t xml:space="preserve">Arqueo de caja: </w:t>
      </w:r>
      <w:r>
        <w:rPr>
          <w:rFonts w:ascii="Calibri" w:hAnsi="Calibri"/>
          <w:color w:val="334155"/>
          <w:sz w:val="20"/>
        </w:rPr>
        <w:t>Falta de conciliación y arqueo de caja que permita determinar si existe sobrante o faltante de dinero físico al culminar la jornada.</w:t>
      </w:r>
    </w:p>
    <w:p>
      <w:pPr>
        <w:spacing w:before="0" w:after="100" w:line="276" w:lineRule="auto"/>
      </w:pPr>
      <w:r>
        <w:rPr>
          <w:rFonts w:ascii="Calibri" w:hAnsi="Calibri"/>
          <w:i w:val="0"/>
          <w:color w:val="334155"/>
          <w:sz w:val="21"/>
        </w:rPr>
        <w:t>La aplicación resuelve estas deficiencias automatizando el registro contable en tiempo real, recalculando automáticamente los precios en bolívares según la tasa del día, emitiendo comprobantes de venta, controlando el inventario y generando reportes oficiales listos para auditoría y firmas.</w:t>
      </w:r>
    </w:p>
    <w:tbl>
      <w:tblPr>
        <w:tblW w:type="auto" w:w="0"/>
        <w:jc w:val="center"/>
        <w:tblLayout w:type="fixed"/>
        <w:tblLook w:firstColumn="1" w:firstRow="1" w:lastColumn="0" w:lastRow="0" w:noHBand="0" w:noVBand="1" w:val="04A0"/>
      </w:tblPr>
      <w:tblGrid>
        <w:gridCol w:w="9648"/>
      </w:tblGrid>
      <w:tr>
        <w:tc>
          <w:tcPr>
            <w:tcW w:type="dxa" w:w="9648"/>
            <w:shd w:fill="FEF3C7"/>
            <w:tcMar>
              <w:top w:w="130" w:type="dxa"/>
              <w:bottom w:w="130" w:type="dxa"/>
              <w:left w:w="200" w:type="dxa"/>
              <w:right w:w="180" w:type="dxa"/>
            </w:tcMar>
            <w:tcBorders>
              <w:top w:val="none" w:sz="0" w:space="0" w:color="auto"/>
              <w:bottom w:val="none" w:sz="0" w:space="0" w:color="auto"/>
              <w:left w:val="single" w:sz="24" w:space="0" w:color="D97706"/>
              <w:right w:val="none" w:sz="0" w:space="0" w:color="auto"/>
            </w:tcBorders>
          </w:tcPr>
          <w:p>
            <w:pPr>
              <w:spacing w:before="0" w:after="40" w:line="276" w:lineRule="auto"/>
            </w:pPr>
            <w:r>
              <w:rPr>
                <w:rFonts w:ascii="Calibri" w:hAnsi="Calibri"/>
                <w:b/>
                <w:color w:val="0F172A"/>
                <w:sz w:val="19"/>
              </w:rPr>
              <w:t xml:space="preserve">📌 CONFORMIDAD ACADÉMICA </w:t>
            </w:r>
            <w:r>
              <w:rPr>
                <w:rFonts w:ascii="Calibri" w:hAnsi="Calibri"/>
                <w:color w:val="334155"/>
                <w:sz w:val="19"/>
              </w:rPr>
              <w:t>El sistema cumple estrictamente con las recomendaciones docentes: es amigable, visualmente moderno, genera subtotales y totales automáticos, emite estadísticas mediante gráficos interactivos y cuenta con una pantalla de bloqueo de seguridad con clave numérica.</w:t>
            </w:r>
          </w:p>
        </w:tc>
      </w:tr>
    </w:tbl>
    <w:p>
      <w:pPr>
        <w:spacing w:after="40"/>
      </w:pPr>
    </w:p>
    <w:p>
      <w:pPr>
        <w:pStyle w:val="Heading1"/>
        <w:spacing w:before="280" w:after="120" w:line="276" w:lineRule="auto"/>
      </w:pPr>
      <w:r>
        <w:rPr>
          <w:rFonts w:ascii="Calibri" w:hAnsi="Calibri"/>
          <w:b/>
          <w:color w:val="0F172A"/>
          <w:sz w:val="32"/>
        </w:rPr>
        <w:t>2. REQUISITOS TÉCNICOS Y PUESTA EN MARCHA (MODO OFFLINE)</w:t>
      </w:r>
    </w:p>
    <w:p>
      <w:pPr>
        <w:spacing w:before="0" w:after="100" w:line="276" w:lineRule="auto"/>
      </w:pPr>
      <w:r>
        <w:rPr>
          <w:rFonts w:ascii="Calibri" w:hAnsi="Calibri"/>
          <w:b/>
          <w:color w:val="0F172A"/>
          <w:sz w:val="21"/>
        </w:rPr>
        <w:t xml:space="preserve">Arquitectura Autónoma: </w:t>
      </w:r>
      <w:r>
        <w:rPr>
          <w:rFonts w:ascii="Calibri" w:hAnsi="Calibri"/>
          <w:i w:val="0"/>
          <w:color w:val="334155"/>
          <w:sz w:val="21"/>
        </w:rPr>
        <w:t>Una de las fortalezas más destacadas de la solución es que fue desarrollada como una Aplicación Web Progresiva (PWA). Esto significa que opera de manera 100% independiente y autónoma:</w:t>
      </w:r>
    </w:p>
    <w:p>
      <w:pPr>
        <w:pStyle w:val="ListBullet"/>
        <w:spacing w:before="0" w:after="60" w:line="276" w:lineRule="auto"/>
      </w:pPr>
      <w:r>
        <w:rPr>
          <w:rFonts w:ascii="Calibri" w:hAnsi="Calibri"/>
          <w:b/>
          <w:color w:val="0F172A"/>
          <w:sz w:val="20"/>
        </w:rPr>
        <w:t xml:space="preserve">Equipo requerido: </w:t>
      </w:r>
      <w:r>
        <w:rPr>
          <w:rFonts w:ascii="Calibri" w:hAnsi="Calibri"/>
          <w:color w:val="334155"/>
          <w:sz w:val="20"/>
        </w:rPr>
        <w:t>Cualquier computador de escritorio o laptop con sistema operativo Windows, Linux o macOS.</w:t>
      </w:r>
    </w:p>
    <w:p>
      <w:pPr>
        <w:pStyle w:val="ListBullet"/>
        <w:spacing w:before="0" w:after="60" w:line="276" w:lineRule="auto"/>
      </w:pPr>
      <w:r>
        <w:rPr>
          <w:rFonts w:ascii="Calibri" w:hAnsi="Calibri"/>
          <w:b/>
          <w:color w:val="0F172A"/>
          <w:sz w:val="20"/>
        </w:rPr>
        <w:t xml:space="preserve">Software necesario: </w:t>
      </w:r>
      <w:r>
        <w:rPr>
          <w:rFonts w:ascii="Calibri" w:hAnsi="Calibri"/>
          <w:color w:val="334155"/>
          <w:sz w:val="20"/>
        </w:rPr>
        <w:t>Navegador web estándar (Google Chrome, Microsoft Edge, Mozilla Firefox, Brave u Opera).</w:t>
      </w:r>
    </w:p>
    <w:p>
      <w:pPr>
        <w:pStyle w:val="ListBullet"/>
        <w:spacing w:before="0" w:after="60" w:line="276" w:lineRule="auto"/>
      </w:pPr>
      <w:r>
        <w:rPr>
          <w:rFonts w:ascii="Calibri" w:hAnsi="Calibri"/>
          <w:b/>
          <w:color w:val="0F172A"/>
          <w:sz w:val="20"/>
        </w:rPr>
        <w:t xml:space="preserve">Conectividad: </w:t>
      </w:r>
      <w:r>
        <w:rPr>
          <w:rFonts w:ascii="Calibri" w:hAnsi="Calibri"/>
          <w:color w:val="334155"/>
          <w:sz w:val="20"/>
        </w:rPr>
        <w:t>NO REQUIERE INTERNET. Los archivos y la base de datos se ejecutan en la memoria local de la computadora (Service Worker y LocalStorage).</w:t>
      </w:r>
    </w:p>
    <w:p>
      <w:pPr>
        <w:pStyle w:val="ListBullet"/>
        <w:spacing w:before="0" w:after="60" w:line="276" w:lineRule="auto"/>
      </w:pPr>
      <w:r>
        <w:rPr>
          <w:rFonts w:ascii="Calibri" w:hAnsi="Calibri"/>
          <w:b/>
          <w:color w:val="0F172A"/>
          <w:sz w:val="20"/>
        </w:rPr>
        <w:t xml:space="preserve">Costo operativo: </w:t>
      </w:r>
      <w:r>
        <w:rPr>
          <w:rFonts w:ascii="Calibri" w:hAnsi="Calibri"/>
          <w:color w:val="334155"/>
          <w:sz w:val="20"/>
        </w:rPr>
        <w:t>No requiere pagar hosting, dominios web ni mensualidades a proveedores externos.</w:t>
      </w:r>
    </w:p>
    <w:p>
      <w:pPr>
        <w:pStyle w:val="Heading2"/>
        <w:spacing w:before="200" w:after="80" w:line="276" w:lineRule="auto"/>
      </w:pPr>
      <w:r>
        <w:rPr>
          <w:rFonts w:ascii="Calibri" w:hAnsi="Calibri"/>
          <w:b/>
          <w:color w:val="D97706"/>
          <w:sz w:val="26"/>
        </w:rPr>
        <w:t>2.1. Procedimiento de Inicio Paso a Paso</w:t>
      </w:r>
    </w:p>
    <w:p>
      <w:pPr>
        <w:spacing w:before="0" w:after="100" w:line="276" w:lineRule="auto"/>
      </w:pPr>
      <w:r>
        <w:rPr>
          <w:rFonts w:ascii="Calibri" w:hAnsi="Calibri"/>
          <w:b/>
          <w:color w:val="0F172A"/>
          <w:sz w:val="21"/>
        </w:rPr>
        <w:t xml:space="preserve">Pasos para el usuario: </w:t>
      </w:r>
      <w:r>
        <w:rPr>
          <w:rFonts w:ascii="Calibri" w:hAnsi="Calibri"/>
          <w:i w:val="0"/>
          <w:color w:val="334155"/>
          <w:sz w:val="21"/>
        </w:rPr>
        <w:t>Para abrir y utilizar el sistema en cualquier equipo:</w:t>
      </w:r>
    </w:p>
    <w:p>
      <w:pPr>
        <w:pStyle w:val="ListBullet"/>
        <w:spacing w:before="0" w:after="60" w:line="276" w:lineRule="auto"/>
      </w:pPr>
      <w:r>
        <w:rPr>
          <w:rFonts w:ascii="Calibri" w:hAnsi="Calibri"/>
          <w:b/>
          <w:color w:val="0F172A"/>
          <w:sz w:val="20"/>
        </w:rPr>
        <w:t xml:space="preserve">Paso 1: </w:t>
      </w:r>
      <w:r>
        <w:rPr>
          <w:rFonts w:ascii="Calibri" w:hAnsi="Calibri"/>
          <w:color w:val="334155"/>
          <w:sz w:val="20"/>
        </w:rPr>
        <w:t>Localice la carpeta del proyecto en su equipo (ejemplo: en el Escritorio llamada 'contabildad').</w:t>
      </w:r>
    </w:p>
    <w:p>
      <w:pPr>
        <w:pStyle w:val="ListBullet"/>
        <w:spacing w:before="0" w:after="60" w:line="276" w:lineRule="auto"/>
      </w:pPr>
      <w:r>
        <w:rPr>
          <w:rFonts w:ascii="Calibri" w:hAnsi="Calibri"/>
          <w:b/>
          <w:color w:val="0F172A"/>
          <w:sz w:val="20"/>
        </w:rPr>
        <w:t xml:space="preserve">Paso 2: </w:t>
      </w:r>
      <w:r>
        <w:rPr>
          <w:rFonts w:ascii="Calibri" w:hAnsi="Calibri"/>
          <w:color w:val="334155"/>
          <w:sz w:val="20"/>
        </w:rPr>
        <w:t>Haga doble clic sobre el archivo principal denominado 'index.html'.</w:t>
      </w:r>
    </w:p>
    <w:p>
      <w:pPr>
        <w:pStyle w:val="ListBullet"/>
        <w:spacing w:before="0" w:after="60" w:line="276" w:lineRule="auto"/>
      </w:pPr>
      <w:r>
        <w:rPr>
          <w:rFonts w:ascii="Calibri" w:hAnsi="Calibri"/>
          <w:b/>
          <w:color w:val="0F172A"/>
          <w:sz w:val="20"/>
        </w:rPr>
        <w:t xml:space="preserve">Paso 3: </w:t>
      </w:r>
      <w:r>
        <w:rPr>
          <w:rFonts w:ascii="Calibri" w:hAnsi="Calibri"/>
          <w:color w:val="334155"/>
          <w:sz w:val="20"/>
        </w:rPr>
        <w:t>El sistema se abrirá inmediatamente en su navegador predeterminado.</w:t>
      </w:r>
    </w:p>
    <w:p>
      <w:pPr>
        <w:pStyle w:val="ListBullet"/>
        <w:spacing w:before="0" w:after="60" w:line="276" w:lineRule="auto"/>
      </w:pPr>
      <w:r>
        <w:rPr>
          <w:rFonts w:ascii="Calibri" w:hAnsi="Calibri"/>
          <w:b/>
          <w:color w:val="0F172A"/>
          <w:sz w:val="20"/>
        </w:rPr>
        <w:t xml:space="preserve">Paso 4: </w:t>
      </w:r>
      <w:r>
        <w:rPr>
          <w:rFonts w:ascii="Calibri" w:hAnsi="Calibri"/>
          <w:color w:val="334155"/>
          <w:sz w:val="20"/>
        </w:rPr>
        <w:t>Si el sistema se encuentra bloqueado, ingrese el PIN de seguridad asignado para ingresar al panel de trabajo.</w:t>
      </w:r>
    </w:p>
    <w:p>
      <w:pPr>
        <w:pStyle w:val="Heading1"/>
        <w:spacing w:before="280" w:after="120" w:line="276" w:lineRule="auto"/>
      </w:pPr>
      <w:r>
        <w:rPr>
          <w:rFonts w:ascii="Calibri" w:hAnsi="Calibri"/>
          <w:b/>
          <w:color w:val="0F172A"/>
          <w:sz w:val="32"/>
        </w:rPr>
        <w:t>3. ACCESO Y SISTEMA DE SEGURIDAD CON PIN</w:t>
      </w:r>
    </w:p>
    <w:p>
      <w:pPr>
        <w:spacing w:before="0" w:after="100" w:line="276" w:lineRule="auto"/>
      </w:pPr>
      <w:r>
        <w:rPr>
          <w:rFonts w:ascii="Calibri" w:hAnsi="Calibri"/>
          <w:i w:val="0"/>
          <w:color w:val="334155"/>
          <w:sz w:val="21"/>
        </w:rPr>
        <w:t>Por requerimiento de seguridad y control interno contable, el sistema incluye una pantalla de bloqueo tipo cajero / POS que restringe el acceso no autorizado a los saldos y operaciones financieras del negocio.</w:t>
      </w:r>
    </w:p>
    <w:p>
      <w:pPr>
        <w:pStyle w:val="Heading2"/>
        <w:spacing w:before="200" w:after="80" w:line="276" w:lineRule="auto"/>
      </w:pPr>
      <w:r>
        <w:rPr>
          <w:rFonts w:ascii="Calibri" w:hAnsi="Calibri"/>
          <w:b/>
          <w:color w:val="D97706"/>
          <w:sz w:val="26"/>
        </w:rPr>
        <w:t>3.1. Pantalla de Bloqueo y Teclado Numérico</w:t>
      </w:r>
    </w:p>
    <w:p>
      <w:pPr>
        <w:spacing w:before="0" w:after="100" w:line="276" w:lineRule="auto"/>
      </w:pPr>
      <w:r>
        <w:rPr>
          <w:rFonts w:ascii="Calibri" w:hAnsi="Calibri"/>
          <w:i w:val="0"/>
          <w:color w:val="334155"/>
          <w:sz w:val="21"/>
        </w:rPr>
        <w:t>Al iniciar el sistema o al presionar el botón de bloqueo, se despliega una tarjeta central con el logo de la empresa, cuatro indicadores de dígitos (puntos PIN) y un teclado numérico táctil interactivo (del 0 al 9, BORRAR y ENTRAR).</w:t>
      </w:r>
    </w:p>
    <w:p>
      <w:pPr>
        <w:pStyle w:val="ListBullet"/>
        <w:spacing w:before="0" w:after="60" w:line="276" w:lineRule="auto"/>
      </w:pPr>
      <w:r>
        <w:rPr>
          <w:rFonts w:ascii="Calibri" w:hAnsi="Calibri"/>
          <w:b/>
          <w:color w:val="0F172A"/>
          <w:sz w:val="20"/>
        </w:rPr>
        <w:t xml:space="preserve">PIN Predeterminado: </w:t>
      </w:r>
      <w:r>
        <w:rPr>
          <w:rFonts w:ascii="Calibri" w:hAnsi="Calibri"/>
          <w:color w:val="334155"/>
          <w:sz w:val="20"/>
        </w:rPr>
        <w:t>El PIN configurado de fábrica para demostración y evaluación es: 1234.</w:t>
      </w:r>
    </w:p>
    <w:p>
      <w:pPr>
        <w:pStyle w:val="ListBullet"/>
        <w:spacing w:before="0" w:after="60" w:line="276" w:lineRule="auto"/>
      </w:pPr>
      <w:r>
        <w:rPr>
          <w:rFonts w:ascii="Calibri" w:hAnsi="Calibri"/>
          <w:b/>
          <w:color w:val="0F172A"/>
          <w:sz w:val="20"/>
        </w:rPr>
        <w:t xml:space="preserve">Métodos de ingreso: </w:t>
      </w:r>
      <w:r>
        <w:rPr>
          <w:rFonts w:ascii="Calibri" w:hAnsi="Calibri"/>
          <w:color w:val="334155"/>
          <w:sz w:val="20"/>
        </w:rPr>
        <w:t>Puede ingresar el PIN haciendo clic con el ratón en los botones en pantalla, o pulsando directamente los números de su teclado físico.</w:t>
      </w:r>
    </w:p>
    <w:p>
      <w:pPr>
        <w:pStyle w:val="ListBullet"/>
        <w:spacing w:before="0" w:after="60" w:line="276" w:lineRule="auto"/>
      </w:pPr>
      <w:r>
        <w:rPr>
          <w:rFonts w:ascii="Calibri" w:hAnsi="Calibri"/>
          <w:b/>
          <w:color w:val="0F172A"/>
          <w:sz w:val="20"/>
        </w:rPr>
        <w:t xml:space="preserve">Acceso rápido: </w:t>
      </w:r>
      <w:r>
        <w:rPr>
          <w:rFonts w:ascii="Calibri" w:hAnsi="Calibri"/>
          <w:color w:val="334155"/>
          <w:sz w:val="20"/>
        </w:rPr>
        <w:t>Al teclear el cuarto dígito correcto, el sistema valida y desbloquea automáticamente en menos de un segundo.</w:t>
      </w:r>
    </w:p>
    <w:p>
      <w:pPr>
        <w:pStyle w:val="ListBullet"/>
        <w:spacing w:before="0" w:after="60" w:line="276" w:lineRule="auto"/>
      </w:pPr>
      <w:r>
        <w:rPr>
          <w:rFonts w:ascii="Calibri" w:hAnsi="Calibri"/>
          <w:b/>
          <w:color w:val="0F172A"/>
          <w:sz w:val="20"/>
        </w:rPr>
        <w:t xml:space="preserve">Protección contra errores: </w:t>
      </w:r>
      <w:r>
        <w:rPr>
          <w:rFonts w:ascii="Calibri" w:hAnsi="Calibri"/>
          <w:color w:val="334155"/>
          <w:sz w:val="20"/>
        </w:rPr>
        <w:t>Si ingresa un PIN incorrecto, los indicadores parpadearán en rojo y una alerta le indicará 'PIN Incorrecto'. Presione BORRAR o ingrese nuevamente los números.</w:t>
      </w:r>
    </w:p>
    <w:p>
      <w:pPr>
        <w:pStyle w:val="Heading2"/>
        <w:spacing w:before="200" w:after="80" w:line="276" w:lineRule="auto"/>
      </w:pPr>
      <w:r>
        <w:rPr>
          <w:rFonts w:ascii="Calibri" w:hAnsi="Calibri"/>
          <w:b/>
          <w:color w:val="D97706"/>
          <w:sz w:val="26"/>
        </w:rPr>
        <w:t>3.2. Bloqueo Manual Rápido de Sesión</w:t>
      </w:r>
    </w:p>
    <w:p>
      <w:pPr>
        <w:spacing w:before="0" w:after="100" w:line="276" w:lineRule="auto"/>
      </w:pPr>
      <w:r>
        <w:rPr>
          <w:rFonts w:ascii="Calibri" w:hAnsi="Calibri"/>
          <w:i w:val="0"/>
          <w:color w:val="334155"/>
          <w:sz w:val="21"/>
        </w:rPr>
        <w:t>Si la persona encargada de la caja debe ausentarse del mostrador, puede hacer clic en el botón 'Bloquear' (identificado con un ícono de candado en la esquina superior derecha). El sistema ocultará inmediatamente todos los datos contables hasta que se vuelva a ingresar el PIN.</w:t>
      </w:r>
    </w:p>
    <w:tbl>
      <w:tblPr>
        <w:tblW w:type="auto" w:w="0"/>
        <w:jc w:val="center"/>
        <w:tblLayout w:type="fixed"/>
        <w:tblLook w:firstColumn="1" w:firstRow="1" w:lastColumn="0" w:lastRow="0" w:noHBand="0" w:noVBand="1" w:val="04A0"/>
      </w:tblPr>
      <w:tblGrid>
        <w:gridCol w:w="9648"/>
      </w:tblGrid>
      <w:tr>
        <w:tc>
          <w:tcPr>
            <w:tcW w:type="dxa" w:w="9648"/>
            <w:shd w:fill="FEF3C7"/>
            <w:tcMar>
              <w:top w:w="130" w:type="dxa"/>
              <w:bottom w:w="130" w:type="dxa"/>
              <w:left w:w="200" w:type="dxa"/>
              <w:right w:w="180" w:type="dxa"/>
            </w:tcMar>
            <w:tcBorders>
              <w:top w:val="none" w:sz="0" w:space="0" w:color="auto"/>
              <w:bottom w:val="none" w:sz="0" w:space="0" w:color="auto"/>
              <w:left w:val="single" w:sz="24" w:space="0" w:color="D97706"/>
              <w:right w:val="none" w:sz="0" w:space="0" w:color="auto"/>
            </w:tcBorders>
          </w:tcPr>
          <w:p>
            <w:pPr>
              <w:spacing w:before="0" w:after="40" w:line="276" w:lineRule="auto"/>
            </w:pPr>
            <w:r>
              <w:rPr>
                <w:rFonts w:ascii="Calibri" w:hAnsi="Calibri"/>
                <w:b/>
                <w:color w:val="0F172A"/>
                <w:sz w:val="19"/>
              </w:rPr>
              <w:t xml:space="preserve">📌 PERSONALIZACIÓN DEL PIN </w:t>
            </w:r>
            <w:r>
              <w:rPr>
                <w:rFonts w:ascii="Calibri" w:hAnsi="Calibri"/>
                <w:color w:val="334155"/>
                <w:sz w:val="19"/>
              </w:rPr>
              <w:t>Para cambiar el PIN de acceso a una clave personalizada, diríjase al módulo 'Ajustes y Datos' -&gt; 'Seguridad y Respaldo de Información'. Allí podrá definir cualquier clave numérica de 4 dígitos.</w:t>
            </w:r>
          </w:p>
        </w:tc>
      </w:tr>
    </w:tbl>
    <w:p>
      <w:pPr>
        <w:spacing w:after="40"/>
      </w:pPr>
    </w:p>
    <w:p>
      <w:pPr>
        <w:pStyle w:val="Heading1"/>
        <w:spacing w:before="280" w:after="120" w:line="276" w:lineRule="auto"/>
      </w:pPr>
      <w:r>
        <w:rPr>
          <w:rFonts w:ascii="Calibri" w:hAnsi="Calibri"/>
          <w:b/>
          <w:color w:val="0F172A"/>
          <w:sz w:val="32"/>
        </w:rPr>
        <w:t>4. ENTORNO GENERAL Y BARRA SUPERIOR DE PARÁMETROS</w:t>
      </w:r>
    </w:p>
    <w:p>
      <w:pPr>
        <w:spacing w:before="0" w:after="100" w:line="276" w:lineRule="auto"/>
      </w:pPr>
      <w:r>
        <w:rPr>
          <w:rFonts w:ascii="Calibri" w:hAnsi="Calibri"/>
          <w:i w:val="0"/>
          <w:color w:val="334155"/>
          <w:sz w:val="21"/>
        </w:rPr>
        <w:t>La interfaz del sistema está organizada en una estructura ergonómica de dos zonas: Menú de Navegación Lateral (Sidebar) y Área de Trabajo Principal.</w:t>
      </w:r>
    </w:p>
    <w:p>
      <w:pPr>
        <w:pStyle w:val="Heading2"/>
        <w:spacing w:before="200" w:after="80" w:line="276" w:lineRule="auto"/>
      </w:pPr>
      <w:r>
        <w:rPr>
          <w:rFonts w:ascii="Calibri" w:hAnsi="Calibri"/>
          <w:b/>
          <w:color w:val="D97706"/>
          <w:sz w:val="26"/>
        </w:rPr>
        <w:t>4.1. Menú Lateral (Sidebar)</w:t>
      </w:r>
    </w:p>
    <w:p>
      <w:pPr>
        <w:spacing w:before="0" w:after="100" w:line="276" w:lineRule="auto"/>
      </w:pPr>
      <w:r>
        <w:rPr>
          <w:rFonts w:ascii="Calibri" w:hAnsi="Calibri"/>
          <w:i w:val="0"/>
          <w:color w:val="334155"/>
          <w:sz w:val="21"/>
        </w:rPr>
        <w:t>Permite moverse con un solo clic entre las distintas secciones de la aplicación:</w:t>
      </w:r>
    </w:p>
    <w:tbl>
      <w:tblPr>
        <w:tblW w:type="auto" w:w="0"/>
        <w:jc w:val="center"/>
        <w:tblLayout w:type="fixed"/>
        <w:tblLook w:firstColumn="1" w:firstRow="1" w:lastColumn="0" w:lastRow="0" w:noHBand="0" w:noVBand="1" w:val="04A0"/>
      </w:tblPr>
      <w:tblGrid>
        <w:gridCol w:w="4824"/>
        <w:gridCol w:w="4824"/>
      </w:tblGrid>
      <w:tr>
        <w:tc>
          <w:tcPr>
            <w:tcW w:type="dxa" w:w="3168"/>
            <w:shd w:fill="0F172A"/>
            <w:tcMar>
              <w:top w:w="110" w:type="dxa"/>
              <w:bottom w:w="110" w:type="dxa"/>
              <w:left w:w="130" w:type="dxa"/>
              <w:right w:w="130" w:type="dxa"/>
            </w:tcMar>
          </w:tcPr>
          <w:p>
            <w:pPr>
              <w:spacing w:before="0" w:after="0"/>
              <w:jc w:val="center"/>
            </w:pPr>
            <w:r>
              <w:rPr>
                <w:rFonts w:ascii="Calibri" w:hAnsi="Calibri"/>
                <w:b/>
                <w:color w:val="FFFFFF"/>
                <w:sz w:val="19"/>
              </w:rPr>
              <w:t>Módulo</w:t>
            </w:r>
          </w:p>
        </w:tc>
        <w:tc>
          <w:tcPr>
            <w:tcW w:type="dxa" w:w="6480"/>
            <w:shd w:fill="0F172A"/>
            <w:tcMar>
              <w:top w:w="110" w:type="dxa"/>
              <w:bottom w:w="110" w:type="dxa"/>
              <w:left w:w="130" w:type="dxa"/>
              <w:right w:w="130" w:type="dxa"/>
            </w:tcMar>
          </w:tcPr>
          <w:p>
            <w:pPr>
              <w:spacing w:before="0" w:after="0"/>
              <w:jc w:val="center"/>
            </w:pPr>
            <w:r>
              <w:rPr>
                <w:rFonts w:ascii="Calibri" w:hAnsi="Calibri"/>
                <w:b/>
                <w:color w:val="FFFFFF"/>
                <w:sz w:val="19"/>
              </w:rPr>
              <w:t>Función Principal</w:t>
            </w:r>
          </w:p>
        </w:tc>
      </w:tr>
      <w:tr>
        <w:tc>
          <w:tcPr>
            <w:tcW w:type="dxa" w:w="31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Dashboard</w:t>
            </w:r>
          </w:p>
        </w:tc>
        <w:tc>
          <w:tcPr>
            <w:tcW w:type="dxa" w:w="64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Panel general con tarjetas de indicadores contables, últimas operaciones y gráficos.</w:t>
            </w:r>
          </w:p>
        </w:tc>
      </w:tr>
      <w:tr>
        <w:tc>
          <w:tcPr>
            <w:tcW w:type="dxa" w:w="316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Punto de Venta</w:t>
            </w:r>
          </w:p>
        </w:tc>
        <w:tc>
          <w:tcPr>
            <w:tcW w:type="dxa" w:w="648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Catálogo para registrar ventas rápidas en mostrador, armar órdenes y emitir tickets.</w:t>
            </w:r>
          </w:p>
        </w:tc>
      </w:tr>
      <w:tr>
        <w:tc>
          <w:tcPr>
            <w:tcW w:type="dxa" w:w="31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Inventario</w:t>
            </w:r>
          </w:p>
        </w:tc>
        <w:tc>
          <w:tcPr>
            <w:tcW w:type="dxa" w:w="64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Listado y control de existencias con costos, precios en $ y Bs., y alertas de stock bajo.</w:t>
            </w:r>
          </w:p>
        </w:tc>
      </w:tr>
      <w:tr>
        <w:tc>
          <w:tcPr>
            <w:tcW w:type="dxa" w:w="316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Gastos y Egresos</w:t>
            </w:r>
          </w:p>
        </w:tc>
        <w:tc>
          <w:tcPr>
            <w:tcW w:type="dxa" w:w="648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Registro de compras de mercancía, servicios y salidas de dinero por proveedor.</w:t>
            </w:r>
          </w:p>
        </w:tc>
      </w:tr>
      <w:tr>
        <w:tc>
          <w:tcPr>
            <w:tcW w:type="dxa" w:w="31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Cierre de Caja</w:t>
            </w:r>
          </w:p>
        </w:tc>
        <w:tc>
          <w:tcPr>
            <w:tcW w:type="dxa" w:w="64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Módulo de arqueo diario para comparar efectivo esperado vs. conteo físico real.</w:t>
            </w:r>
          </w:p>
        </w:tc>
      </w:tr>
      <w:tr>
        <w:tc>
          <w:tcPr>
            <w:tcW w:type="dxa" w:w="316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Reportes Contables</w:t>
            </w:r>
          </w:p>
        </w:tc>
        <w:tc>
          <w:tcPr>
            <w:tcW w:type="dxa" w:w="648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Generador oficial del Libro de Ventas, balance de saldos y formato para firmas y PDF.</w:t>
            </w:r>
          </w:p>
        </w:tc>
      </w:tr>
      <w:tr>
        <w:tc>
          <w:tcPr>
            <w:tcW w:type="dxa" w:w="31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Ajustes y Datos</w:t>
            </w:r>
          </w:p>
        </w:tc>
        <w:tc>
          <w:tcPr>
            <w:tcW w:type="dxa" w:w="64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Configuración de la tasa oficial del dólar, RIF, datos del equipo y copias de seguridad.</w:t>
            </w:r>
          </w:p>
        </w:tc>
      </w:tr>
    </w:tbl>
    <w:p>
      <w:pPr>
        <w:spacing w:after="160"/>
      </w:pPr>
    </w:p>
    <w:p>
      <w:pPr>
        <w:pStyle w:val="Heading2"/>
        <w:spacing w:before="200" w:after="80" w:line="276" w:lineRule="auto"/>
      </w:pPr>
      <w:r>
        <w:rPr>
          <w:rFonts w:ascii="Calibri" w:hAnsi="Calibri"/>
          <w:b/>
          <w:color w:val="D97706"/>
          <w:sz w:val="26"/>
        </w:rPr>
        <w:t>4.2. Barra Superior (Header)</w:t>
      </w:r>
    </w:p>
    <w:p>
      <w:pPr>
        <w:pStyle w:val="ListBullet"/>
        <w:spacing w:before="0" w:after="60" w:line="276" w:lineRule="auto"/>
      </w:pPr>
      <w:r>
        <w:rPr>
          <w:rFonts w:ascii="Calibri" w:hAnsi="Calibri"/>
          <w:b/>
          <w:color w:val="0F172A"/>
          <w:sz w:val="20"/>
        </w:rPr>
        <w:t xml:space="preserve">Título de Vista: </w:t>
      </w:r>
      <w:r>
        <w:rPr>
          <w:rFonts w:ascii="Calibri" w:hAnsi="Calibri"/>
          <w:color w:val="334155"/>
          <w:sz w:val="20"/>
        </w:rPr>
        <w:t>Muestra el módulo que se encuentra activo en pantalla.</w:t>
      </w:r>
    </w:p>
    <w:p>
      <w:pPr>
        <w:pStyle w:val="ListBullet"/>
        <w:spacing w:before="0" w:after="60" w:line="276" w:lineRule="auto"/>
      </w:pPr>
      <w:r>
        <w:rPr>
          <w:rFonts w:ascii="Calibri" w:hAnsi="Calibri"/>
          <w:b/>
          <w:color w:val="0F172A"/>
          <w:sz w:val="20"/>
        </w:rPr>
        <w:t xml:space="preserve">Píldora de Tasa de Cambio: </w:t>
      </w:r>
      <w:r>
        <w:rPr>
          <w:rFonts w:ascii="Calibri" w:hAnsi="Calibri"/>
          <w:color w:val="334155"/>
          <w:sz w:val="20"/>
        </w:rPr>
        <w:t>Indica la tasa de cambio oficial activa (ejemplo: 1 USD = 50.00 Bs.). Permite verificar con qué valor se están convirtiendo los precios.</w:t>
      </w:r>
    </w:p>
    <w:p>
      <w:pPr>
        <w:pStyle w:val="ListBullet"/>
        <w:spacing w:before="0" w:after="60" w:line="276" w:lineRule="auto"/>
      </w:pPr>
      <w:r>
        <w:rPr>
          <w:rFonts w:ascii="Calibri" w:hAnsi="Calibri"/>
          <w:b/>
          <w:color w:val="0F172A"/>
          <w:sz w:val="20"/>
        </w:rPr>
        <w:t xml:space="preserve">Estado de Caja: </w:t>
      </w:r>
      <w:r>
        <w:rPr>
          <w:rFonts w:ascii="Calibri" w:hAnsi="Calibri"/>
          <w:color w:val="334155"/>
          <w:sz w:val="20"/>
        </w:rPr>
        <w:t>Insignia verde con pulso animado que indica que la jornada contable está en curso.</w:t>
      </w:r>
    </w:p>
    <w:p>
      <w:pPr>
        <w:pStyle w:val="ListBullet"/>
        <w:spacing w:before="0" w:after="60" w:line="276" w:lineRule="auto"/>
      </w:pPr>
      <w:r>
        <w:rPr>
          <w:rFonts w:ascii="Calibri" w:hAnsi="Calibri"/>
          <w:b/>
          <w:color w:val="0F172A"/>
          <w:sz w:val="20"/>
        </w:rPr>
        <w:t xml:space="preserve">Botón Bloquear: </w:t>
      </w:r>
      <w:r>
        <w:rPr>
          <w:rFonts w:ascii="Calibri" w:hAnsi="Calibri"/>
          <w:color w:val="334155"/>
          <w:sz w:val="20"/>
        </w:rPr>
        <w:t>Candado de seguridad para proteger la pantalla ante ausencias del cajero.</w:t>
      </w:r>
    </w:p>
    <w:p>
      <w:pPr>
        <w:pStyle w:val="ListBullet"/>
        <w:spacing w:before="0" w:after="60" w:line="276" w:lineRule="auto"/>
      </w:pPr>
      <w:r>
        <w:rPr>
          <w:rFonts w:ascii="Calibri" w:hAnsi="Calibri"/>
          <w:b/>
          <w:color w:val="0F172A"/>
          <w:sz w:val="20"/>
        </w:rPr>
        <w:t xml:space="preserve">Perfil de Usuario: </w:t>
      </w:r>
      <w:r>
        <w:rPr>
          <w:rFonts w:ascii="Calibri" w:hAnsi="Calibri"/>
          <w:color w:val="334155"/>
          <w:sz w:val="20"/>
        </w:rPr>
        <w:t>Muestra las iniciales y nombre de la responsable activa (Mariangela - Dueña / Administración).</w:t>
      </w:r>
    </w:p>
    <w:p>
      <w:pPr>
        <w:pStyle w:val="Heading1"/>
        <w:spacing w:before="280" w:after="120" w:line="276" w:lineRule="auto"/>
      </w:pPr>
      <w:r>
        <w:rPr>
          <w:rFonts w:ascii="Calibri" w:hAnsi="Calibri"/>
          <w:b/>
          <w:color w:val="0F172A"/>
          <w:sz w:val="32"/>
        </w:rPr>
        <w:t>5. MÓDULO 1: TABLERO PRINCIPAL (DASHBOARD)</w:t>
      </w:r>
    </w:p>
    <w:p>
      <w:pPr>
        <w:spacing w:before="0" w:after="100" w:line="276" w:lineRule="auto"/>
      </w:pPr>
      <w:r>
        <w:rPr>
          <w:rFonts w:ascii="Calibri" w:hAnsi="Calibri"/>
          <w:i w:val="0"/>
          <w:color w:val="334155"/>
          <w:sz w:val="21"/>
        </w:rPr>
        <w:t>El Dashboard es la pantalla de mando financiero de 'La Salsa de Ajo C.A.'. Ofrece una visión panorámica e instantánea del rendimiento del negocio sin requerir cálculos manuales.</w:t>
      </w:r>
    </w:p>
    <w:p>
      <w:pPr>
        <w:pStyle w:val="Heading2"/>
        <w:spacing w:before="200" w:after="80" w:line="276" w:lineRule="auto"/>
      </w:pPr>
      <w:r>
        <w:rPr>
          <w:rFonts w:ascii="Calibri" w:hAnsi="Calibri"/>
          <w:b/>
          <w:color w:val="D97706"/>
          <w:sz w:val="26"/>
        </w:rPr>
        <w:t>5.1. Tarjetas de Métricas Clave (KPIs)</w:t>
      </w:r>
    </w:p>
    <w:p>
      <w:pPr>
        <w:spacing w:before="0" w:after="100" w:line="276" w:lineRule="auto"/>
      </w:pPr>
      <w:r>
        <w:rPr>
          <w:rFonts w:ascii="Calibri" w:hAnsi="Calibri"/>
          <w:i w:val="0"/>
          <w:color w:val="334155"/>
          <w:sz w:val="21"/>
        </w:rPr>
        <w:t>En la parte superior se presentan 4 tarjetas con cálculo en tiempo real y conversión simultánea en ambas monedas:</w:t>
      </w:r>
    </w:p>
    <w:tbl>
      <w:tblPr>
        <w:tblW w:type="auto" w:w="0"/>
        <w:jc w:val="center"/>
        <w:tblLayout w:type="fixed"/>
        <w:tblLook w:firstColumn="1" w:firstRow="1" w:lastColumn="0" w:lastRow="0" w:noHBand="0" w:noVBand="1" w:val="04A0"/>
      </w:tblPr>
      <w:tblGrid>
        <w:gridCol w:w="4824"/>
        <w:gridCol w:w="4824"/>
      </w:tblGrid>
      <w:tr>
        <w:tc>
          <w:tcPr>
            <w:tcW w:type="dxa" w:w="3312"/>
            <w:shd w:fill="0F172A"/>
            <w:tcMar>
              <w:top w:w="110" w:type="dxa"/>
              <w:bottom w:w="110" w:type="dxa"/>
              <w:left w:w="130" w:type="dxa"/>
              <w:right w:w="130" w:type="dxa"/>
            </w:tcMar>
          </w:tcPr>
          <w:p>
            <w:pPr>
              <w:spacing w:before="0" w:after="0"/>
              <w:jc w:val="center"/>
            </w:pPr>
            <w:r>
              <w:rPr>
                <w:rFonts w:ascii="Calibri" w:hAnsi="Calibri"/>
                <w:b/>
                <w:color w:val="FFFFFF"/>
                <w:sz w:val="19"/>
              </w:rPr>
              <w:t>Tarjeta / Métrica</w:t>
            </w:r>
          </w:p>
        </w:tc>
        <w:tc>
          <w:tcPr>
            <w:tcW w:type="dxa" w:w="6336"/>
            <w:shd w:fill="0F172A"/>
            <w:tcMar>
              <w:top w:w="110" w:type="dxa"/>
              <w:bottom w:w="110" w:type="dxa"/>
              <w:left w:w="130" w:type="dxa"/>
              <w:right w:w="130" w:type="dxa"/>
            </w:tcMar>
          </w:tcPr>
          <w:p>
            <w:pPr>
              <w:spacing w:before="0" w:after="0"/>
              <w:jc w:val="center"/>
            </w:pPr>
            <w:r>
              <w:rPr>
                <w:rFonts w:ascii="Calibri" w:hAnsi="Calibri"/>
                <w:b/>
                <w:color w:val="FFFFFF"/>
                <w:sz w:val="19"/>
              </w:rPr>
              <w:t>Significado Contable y Operativo</w:t>
            </w:r>
          </w:p>
        </w:tc>
      </w:tr>
      <w:tr>
        <w:tc>
          <w:tcPr>
            <w:tcW w:type="dxa" w:w="3312"/>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Ingresos Totales (Ventas)</w:t>
            </w:r>
          </w:p>
        </w:tc>
        <w:tc>
          <w:tcPr>
            <w:tcW w:type="dxa" w:w="6336"/>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Suma acumulada de todas las ventas cobradas. Muestra el total en USD ($) y su equivalencia exacta en Bolívares (Bs.). Indicador Verde.</w:t>
            </w:r>
          </w:p>
        </w:tc>
      </w:tr>
      <w:tr>
        <w:tc>
          <w:tcPr>
            <w:tcW w:type="dxa" w:w="3312"/>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Egresos Totales (Gastos)</w:t>
            </w:r>
          </w:p>
        </w:tc>
        <w:tc>
          <w:tcPr>
            <w:tcW w:type="dxa" w:w="6336"/>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Suma acumulada de todas las salidas de dinero (mercancía, servicios, fletes, etc.). Indicador Rojo.</w:t>
            </w:r>
          </w:p>
        </w:tc>
      </w:tr>
      <w:tr>
        <w:tc>
          <w:tcPr>
            <w:tcW w:type="dxa" w:w="3312"/>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Resultado de Saldos</w:t>
            </w:r>
          </w:p>
        </w:tc>
        <w:tc>
          <w:tcPr>
            <w:tcW w:type="dxa" w:w="6336"/>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Diferencia contable neta (Ingresos menos Egresos). Representa la utilidad o flujo neto de efectivo generado en el período. Indicador Azul.</w:t>
            </w:r>
          </w:p>
        </w:tc>
      </w:tr>
      <w:tr>
        <w:tc>
          <w:tcPr>
            <w:tcW w:type="dxa" w:w="3312"/>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Valor en Inventario</w:t>
            </w:r>
          </w:p>
        </w:tc>
        <w:tc>
          <w:tcPr>
            <w:tcW w:type="dxa" w:w="6336"/>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Valorización monetaria total de las mercancías almacenadas (Costo x Stock) y conteo de productos disponibles. Indicador Dorado.</w:t>
            </w:r>
          </w:p>
        </w:tc>
      </w:tr>
    </w:tbl>
    <w:p>
      <w:pPr>
        <w:spacing w:after="160"/>
      </w:pPr>
    </w:p>
    <w:p>
      <w:pPr>
        <w:pStyle w:val="Heading2"/>
        <w:spacing w:before="200" w:after="80" w:line="276" w:lineRule="auto"/>
      </w:pPr>
      <w:r>
        <w:rPr>
          <w:rFonts w:ascii="Calibri" w:hAnsi="Calibri"/>
          <w:b/>
          <w:color w:val="D97706"/>
          <w:sz w:val="26"/>
        </w:rPr>
        <w:t>5.2. Tabla de Últimos Movimientos</w:t>
      </w:r>
    </w:p>
    <w:p>
      <w:pPr>
        <w:spacing w:before="0" w:after="100" w:line="276" w:lineRule="auto"/>
      </w:pPr>
      <w:r>
        <w:rPr>
          <w:rFonts w:ascii="Calibri" w:hAnsi="Calibri"/>
          <w:i w:val="0"/>
          <w:color w:val="334155"/>
          <w:sz w:val="21"/>
        </w:rPr>
        <w:t>Ubicada debajo de las métricas principales, refleja las transacciones registradas más recientes en tiempo real (Fecha y hora, tipo de movimiento con badge de color verde para Ingreso y rojo para Egreso, descripción o comprobante, método de pago utilizado y montos en $ y Bs.). Cuenta con un botón 'Ver Todas' que conduce al reporte detallado.</w:t>
      </w:r>
    </w:p>
    <w:p>
      <w:pPr>
        <w:pStyle w:val="Heading2"/>
        <w:spacing w:before="200" w:after="80" w:line="276" w:lineRule="auto"/>
      </w:pPr>
      <w:r>
        <w:rPr>
          <w:rFonts w:ascii="Calibri" w:hAnsi="Calibri"/>
          <w:b/>
          <w:color w:val="D97706"/>
          <w:sz w:val="26"/>
        </w:rPr>
        <w:t>5.3. Gráficos Estadísticos Dinámicos (Chart.js)</w:t>
      </w:r>
    </w:p>
    <w:p>
      <w:pPr>
        <w:spacing w:before="0" w:after="100" w:line="276" w:lineRule="auto"/>
      </w:pPr>
      <w:r>
        <w:rPr>
          <w:rFonts w:ascii="Calibri" w:hAnsi="Calibri"/>
          <w:i w:val="0"/>
          <w:color w:val="334155"/>
          <w:sz w:val="21"/>
        </w:rPr>
        <w:t>Para dar cumplimiento al requerimiento docente sobre análisis visual y estadístico, se incorporan dos gráficos interactivos:</w:t>
      </w:r>
    </w:p>
    <w:p>
      <w:pPr>
        <w:pStyle w:val="ListBullet"/>
        <w:spacing w:before="0" w:after="60" w:line="276" w:lineRule="auto"/>
      </w:pPr>
      <w:r>
        <w:rPr>
          <w:rFonts w:ascii="Calibri" w:hAnsi="Calibri"/>
          <w:b/>
          <w:color w:val="0F172A"/>
          <w:sz w:val="20"/>
        </w:rPr>
        <w:t xml:space="preserve">Gráfico 1: Ingresos vs Egresos. </w:t>
      </w:r>
      <w:r>
        <w:rPr>
          <w:rFonts w:ascii="Calibri" w:hAnsi="Calibri"/>
          <w:color w:val="334155"/>
          <w:sz w:val="20"/>
        </w:rPr>
        <w:t>Gráfico de barras vertical que compara visualmente el volumen total de dinero que entró frente al dinero que salió del negocio.</w:t>
      </w:r>
    </w:p>
    <w:p>
      <w:pPr>
        <w:pStyle w:val="ListBullet"/>
        <w:spacing w:before="0" w:after="60" w:line="276" w:lineRule="auto"/>
      </w:pPr>
      <w:r>
        <w:rPr>
          <w:rFonts w:ascii="Calibri" w:hAnsi="Calibri"/>
          <w:b/>
          <w:color w:val="0F172A"/>
          <w:sz w:val="20"/>
        </w:rPr>
        <w:t xml:space="preserve">Gráfico 2: Ventas por Método de Pago. </w:t>
      </w:r>
      <w:r>
        <w:rPr>
          <w:rFonts w:ascii="Calibri" w:hAnsi="Calibri"/>
          <w:color w:val="334155"/>
          <w:sz w:val="20"/>
        </w:rPr>
        <w:t>Gráfico circular tipo dona que desglosa porcentualmente los cobros según la modalidad (Efectivo $, Efectivo Bs, Punto de Venta, Pago Móvil, Transferencia, Biopago). Permite a la gerencia conocer qué porcentaje de sus ventas depende de divisas o medios electrónicos.</w:t>
      </w:r>
    </w:p>
    <w:p>
      <w:pPr>
        <w:pStyle w:val="Heading1"/>
        <w:spacing w:before="280" w:after="120" w:line="276" w:lineRule="auto"/>
      </w:pPr>
      <w:r>
        <w:rPr>
          <w:rFonts w:ascii="Calibri" w:hAnsi="Calibri"/>
          <w:b/>
          <w:color w:val="0F172A"/>
          <w:sz w:val="32"/>
        </w:rPr>
        <w:t>6. MÓDULO 2: PUNTO DE VENTA (POS) Y FACTURACIÓN</w:t>
      </w:r>
    </w:p>
    <w:p>
      <w:pPr>
        <w:spacing w:before="0" w:after="100" w:line="276" w:lineRule="auto"/>
      </w:pPr>
      <w:r>
        <w:rPr>
          <w:rFonts w:ascii="Calibri" w:hAnsi="Calibri"/>
          <w:i w:val="0"/>
          <w:color w:val="334155"/>
          <w:sz w:val="21"/>
        </w:rPr>
        <w:t>El módulo de Punto de Venta está optimizado para agilizar el despacho y cobro en mostrador. Su interfaz está dividida en dos columnas: el Catálogo Visual a la izquierda y el Carrito de Venta a la derecha.</w:t>
      </w:r>
    </w:p>
    <w:p>
      <w:pPr>
        <w:pStyle w:val="Heading2"/>
        <w:spacing w:before="200" w:after="80" w:line="276" w:lineRule="auto"/>
      </w:pPr>
      <w:r>
        <w:rPr>
          <w:rFonts w:ascii="Calibri" w:hAnsi="Calibri"/>
          <w:b/>
          <w:color w:val="D97706"/>
          <w:sz w:val="26"/>
        </w:rPr>
        <w:t>6.1. Exploración y Búsqueda de Productos</w:t>
      </w:r>
    </w:p>
    <w:p>
      <w:pPr>
        <w:pStyle w:val="ListBullet"/>
        <w:spacing w:before="0" w:after="60" w:line="276" w:lineRule="auto"/>
      </w:pPr>
      <w:r>
        <w:rPr>
          <w:rFonts w:ascii="Calibri" w:hAnsi="Calibri"/>
          <w:b/>
          <w:color w:val="0F172A"/>
          <w:sz w:val="20"/>
        </w:rPr>
        <w:t xml:space="preserve">Buscador Inteligente: </w:t>
      </w:r>
      <w:r>
        <w:rPr>
          <w:rFonts w:ascii="Calibri" w:hAnsi="Calibri"/>
          <w:color w:val="334155"/>
          <w:sz w:val="20"/>
        </w:rPr>
        <w:t>Permite escribir el nombre (ej. 'Salsa', 'Queso', 'Jamón') o el código (ej. 'CH-001') y filtra al instante mientras se escribe.</w:t>
      </w:r>
    </w:p>
    <w:p>
      <w:pPr>
        <w:pStyle w:val="ListBullet"/>
        <w:spacing w:before="0" w:after="60" w:line="276" w:lineRule="auto"/>
      </w:pPr>
      <w:r>
        <w:rPr>
          <w:rFonts w:ascii="Calibri" w:hAnsi="Calibri"/>
          <w:b/>
          <w:color w:val="0F172A"/>
          <w:sz w:val="20"/>
        </w:rPr>
        <w:t xml:space="preserve">Filtros por Categoría (Chips): </w:t>
      </w:r>
      <w:r>
        <w:rPr>
          <w:rFonts w:ascii="Calibri" w:hAnsi="Calibri"/>
          <w:color w:val="334155"/>
          <w:sz w:val="20"/>
        </w:rPr>
        <w:t>Permite filtrar por tipo de producto: 'Todos', 'Charcutería', 'Quesería y Lácteos', 'Salsas de la Casa', 'Víveres' y 'Bebidas'.</w:t>
      </w:r>
    </w:p>
    <w:p>
      <w:pPr>
        <w:pStyle w:val="ListBullet"/>
        <w:spacing w:before="0" w:after="60" w:line="276" w:lineRule="auto"/>
      </w:pPr>
      <w:r>
        <w:rPr>
          <w:rFonts w:ascii="Calibri" w:hAnsi="Calibri"/>
          <w:b/>
          <w:color w:val="0F172A"/>
          <w:sz w:val="20"/>
        </w:rPr>
        <w:t xml:space="preserve">Tarjetas de Producto: </w:t>
      </w:r>
      <w:r>
        <w:rPr>
          <w:rFonts w:ascii="Calibri" w:hAnsi="Calibri"/>
          <w:color w:val="334155"/>
          <w:sz w:val="20"/>
        </w:rPr>
        <w:t>Cada tarjeta muestra el nombre del producto, código, unidad de medida, stock disponible y precio tanto en $ como en Bs.</w:t>
      </w:r>
    </w:p>
    <w:p>
      <w:pPr>
        <w:pStyle w:val="Heading2"/>
        <w:spacing w:before="200" w:after="80" w:line="276" w:lineRule="auto"/>
      </w:pPr>
      <w:r>
        <w:rPr>
          <w:rFonts w:ascii="Calibri" w:hAnsi="Calibri"/>
          <w:b/>
          <w:color w:val="D97706"/>
          <w:sz w:val="26"/>
        </w:rPr>
        <w:t>6.2. Armado de la Orden, Balanza y Pesaje de Productos</w:t>
      </w:r>
    </w:p>
    <w:p>
      <w:pPr>
        <w:spacing w:before="0" w:after="100" w:line="276" w:lineRule="auto"/>
      </w:pPr>
      <w:r>
        <w:rPr>
          <w:rFonts w:ascii="Calibri" w:hAnsi="Calibri"/>
          <w:i w:val="0"/>
          <w:color w:val="334155"/>
          <w:sz w:val="21"/>
        </w:rPr>
        <w:t>El sistema cuenta con un submódulo especializado de Balanza de Mostrador y Fraccionamiento para bodegas, charcuterías y ventas pesables:</w:t>
      </w:r>
    </w:p>
    <w:p>
      <w:pPr>
        <w:pStyle w:val="ListBullet"/>
        <w:spacing w:before="0" w:after="60" w:line="276" w:lineRule="auto"/>
      </w:pPr>
      <w:r>
        <w:rPr>
          <w:rFonts w:ascii="Calibri" w:hAnsi="Calibri"/>
          <w:b/>
          <w:color w:val="0F172A"/>
          <w:sz w:val="20"/>
        </w:rPr>
        <w:t xml:space="preserve">1. Detección de Pesables: </w:t>
      </w:r>
      <w:r>
        <w:rPr>
          <w:rFonts w:ascii="Calibri" w:hAnsi="Calibri"/>
          <w:color w:val="334155"/>
          <w:sz w:val="20"/>
        </w:rPr>
        <w:t>Al hacer clic en un producto comercializado por peso (unidad 'Kg' o 'Gramo', como papas, tomates, cebollas, queso o jamón), se despliega automáticamente la Balanza de Mostrador.</w:t>
      </w:r>
    </w:p>
    <w:p>
      <w:pPr>
        <w:pStyle w:val="ListBullet"/>
        <w:spacing w:before="0" w:after="60" w:line="276" w:lineRule="auto"/>
      </w:pPr>
      <w:r>
        <w:rPr>
          <w:rFonts w:ascii="Calibri" w:hAnsi="Calibri"/>
          <w:b/>
          <w:color w:val="0F172A"/>
          <w:sz w:val="20"/>
        </w:rPr>
        <w:t xml:space="preserve">2. Pesaje en Gramos (g): </w:t>
      </w:r>
      <w:r>
        <w:rPr>
          <w:rFonts w:ascii="Calibri" w:hAnsi="Calibri"/>
          <w:color w:val="334155"/>
          <w:sz w:val="20"/>
        </w:rPr>
        <w:t>El cajero puede escribir el peso exacto de la báscula en gramos (ej: 1200 gramos) y el sistema lo calcula al instante como 1.200 Kg multiplicándolo por el precio unitario.</w:t>
      </w:r>
    </w:p>
    <w:p>
      <w:pPr>
        <w:pStyle w:val="ListBullet"/>
        <w:spacing w:before="0" w:after="60" w:line="276" w:lineRule="auto"/>
      </w:pPr>
      <w:r>
        <w:rPr>
          <w:rFonts w:ascii="Calibri" w:hAnsi="Calibri"/>
          <w:b/>
          <w:color w:val="0F172A"/>
          <w:sz w:val="20"/>
        </w:rPr>
        <w:t xml:space="preserve">3. Pesaje en Kilos (Kg): </w:t>
      </w:r>
      <w:r>
        <w:rPr>
          <w:rFonts w:ascii="Calibri" w:hAnsi="Calibri"/>
          <w:color w:val="334155"/>
          <w:sz w:val="20"/>
        </w:rPr>
        <w:t>Permite ingresar el peso en kilogramos con precisión de tres decimales (ej: 1.350 Kg o 0.450 Kg).</w:t>
      </w:r>
    </w:p>
    <w:p>
      <w:pPr>
        <w:pStyle w:val="ListBullet"/>
        <w:spacing w:before="0" w:after="60" w:line="276" w:lineRule="auto"/>
      </w:pPr>
      <w:r>
        <w:rPr>
          <w:rFonts w:ascii="Calibri" w:hAnsi="Calibri"/>
          <w:b/>
          <w:color w:val="0F172A"/>
          <w:sz w:val="20"/>
        </w:rPr>
        <w:t xml:space="preserve">4. Venta por Monto Fijo ($ USD o Bs): </w:t>
      </w:r>
      <w:r>
        <w:rPr>
          <w:rFonts w:ascii="Calibri" w:hAnsi="Calibri"/>
          <w:color w:val="334155"/>
          <w:sz w:val="20"/>
        </w:rPr>
        <w:t>Si el cliente solicita una compra por valor monetario (ej: 'Dame $2.00 de queso' o 'Dame 100 Bs de tomates'), el cajero ingresa el monto en la pestaña de Monto Fijo y el sistema calcula matemáticamente cuántos gramos y kilos exactos corresponden a ese dinero según la tasa del día.</w:t>
      </w:r>
    </w:p>
    <w:p>
      <w:pPr>
        <w:pStyle w:val="ListBullet"/>
        <w:spacing w:before="0" w:after="60" w:line="276" w:lineRule="auto"/>
      </w:pPr>
      <w:r>
        <w:rPr>
          <w:rFonts w:ascii="Calibri" w:hAnsi="Calibri"/>
          <w:b/>
          <w:color w:val="0F172A"/>
          <w:sz w:val="20"/>
        </w:rPr>
        <w:t xml:space="preserve">5. Botones Rápidos de Mostrador: </w:t>
      </w:r>
      <w:r>
        <w:rPr>
          <w:rFonts w:ascii="Calibri" w:hAnsi="Calibri"/>
          <w:color w:val="334155"/>
          <w:sz w:val="20"/>
        </w:rPr>
        <w:t>Cuenta con botones de acceso rápido para pesajes comunes (100g, 250g, 500g, 750g, 1 Kg, 1.2 Kg, 1.5 Kg, 2 Kg) y montos frecuentes ($1, $2, $3, $5).</w:t>
      </w:r>
    </w:p>
    <w:p>
      <w:pPr>
        <w:pStyle w:val="ListBullet"/>
        <w:spacing w:before="0" w:after="60" w:line="276" w:lineRule="auto"/>
      </w:pPr>
      <w:r>
        <w:rPr>
          <w:rFonts w:ascii="Calibri" w:hAnsi="Calibri"/>
          <w:b/>
          <w:color w:val="0F172A"/>
          <w:sz w:val="20"/>
        </w:rPr>
        <w:t xml:space="preserve">6. Modificación en Carrito: </w:t>
      </w:r>
      <w:r>
        <w:rPr>
          <w:rFonts w:ascii="Calibri" w:hAnsi="Calibri"/>
          <w:color w:val="334155"/>
          <w:sz w:val="20"/>
        </w:rPr>
        <w:t>Dentro de la lista del carrito, cada fila incluye un campo numérico editable y un botón '⚖️ Pesar / Monto Fijo' para reajustar el pesaje en cualquier momento antes de cobrar.</w:t>
      </w:r>
    </w:p>
    <w:p>
      <w:pPr>
        <w:pStyle w:val="ListBullet"/>
        <w:spacing w:before="0" w:after="60" w:line="276" w:lineRule="auto"/>
      </w:pPr>
      <w:r>
        <w:rPr>
          <w:rFonts w:ascii="Calibri" w:hAnsi="Calibri"/>
          <w:b/>
          <w:color w:val="0F172A"/>
          <w:sz w:val="20"/>
        </w:rPr>
        <w:t xml:space="preserve">7. Recálculo Automático: </w:t>
      </w:r>
      <w:r>
        <w:rPr>
          <w:rFonts w:ascii="Calibri" w:hAnsi="Calibri"/>
          <w:color w:val="334155"/>
          <w:sz w:val="20"/>
        </w:rPr>
        <w:t>El sistema actualiza en tiempo real el Subtotal, Exento/IVA (0%) y el Total a pagar en Dólares ($) y Bolívares (Bs.).</w:t>
      </w:r>
    </w:p>
    <w:p>
      <w:pPr>
        <w:pStyle w:val="Heading2"/>
        <w:spacing w:before="200" w:after="80" w:line="276" w:lineRule="auto"/>
      </w:pPr>
      <w:r>
        <w:rPr>
          <w:rFonts w:ascii="Calibri" w:hAnsi="Calibri"/>
          <w:b/>
          <w:color w:val="D97706"/>
          <w:sz w:val="26"/>
        </w:rPr>
        <w:t>6.3. Selección del Método de Pago y Emisión de Ticket</w:t>
      </w:r>
    </w:p>
    <w:p>
      <w:pPr>
        <w:spacing w:before="0" w:after="100" w:line="276" w:lineRule="auto"/>
      </w:pPr>
      <w:r>
        <w:rPr>
          <w:rFonts w:ascii="Calibri" w:hAnsi="Calibri"/>
          <w:i w:val="0"/>
          <w:color w:val="334155"/>
          <w:sz w:val="21"/>
        </w:rPr>
        <w:t>El cajero selecciona con un clic la modalidad en la que el cliente cancela la compra:</w:t>
      </w:r>
    </w:p>
    <w:p>
      <w:pPr>
        <w:pStyle w:val="ListBullet"/>
        <w:spacing w:before="0" w:after="60" w:line="276" w:lineRule="auto"/>
      </w:pPr>
      <w:r>
        <w:rPr>
          <w:rFonts w:ascii="Calibri" w:hAnsi="Calibri"/>
          <w:b/>
          <w:color w:val="0F172A"/>
          <w:sz w:val="20"/>
        </w:rPr>
        <w:t xml:space="preserve">💵 Efectivo $: </w:t>
      </w:r>
      <w:r>
        <w:rPr>
          <w:rFonts w:ascii="Calibri" w:hAnsi="Calibri"/>
          <w:color w:val="334155"/>
          <w:sz w:val="20"/>
        </w:rPr>
        <w:t>Dólares en billetes físicos.</w:t>
      </w:r>
    </w:p>
    <w:p>
      <w:pPr>
        <w:pStyle w:val="ListBullet"/>
        <w:spacing w:before="0" w:after="60" w:line="276" w:lineRule="auto"/>
      </w:pPr>
      <w:r>
        <w:rPr>
          <w:rFonts w:ascii="Calibri" w:hAnsi="Calibri"/>
          <w:b/>
          <w:color w:val="0F172A"/>
          <w:sz w:val="20"/>
        </w:rPr>
        <w:t xml:space="preserve">🇻🇪 Efectivo Bs: </w:t>
      </w:r>
      <w:r>
        <w:rPr>
          <w:rFonts w:ascii="Calibri" w:hAnsi="Calibri"/>
          <w:color w:val="334155"/>
          <w:sz w:val="20"/>
        </w:rPr>
        <w:t>Bolívares en efectivo calculados a la tasa del día.</w:t>
      </w:r>
    </w:p>
    <w:p>
      <w:pPr>
        <w:pStyle w:val="ListBullet"/>
        <w:spacing w:before="0" w:after="60" w:line="276" w:lineRule="auto"/>
      </w:pPr>
      <w:r>
        <w:rPr>
          <w:rFonts w:ascii="Calibri" w:hAnsi="Calibri"/>
          <w:b/>
          <w:color w:val="0F172A"/>
          <w:sz w:val="20"/>
        </w:rPr>
        <w:t xml:space="preserve">💳 Punto de Venta: </w:t>
      </w:r>
      <w:r>
        <w:rPr>
          <w:rFonts w:ascii="Calibri" w:hAnsi="Calibri"/>
          <w:color w:val="334155"/>
          <w:sz w:val="20"/>
        </w:rPr>
        <w:t>Tarjeta de débito o crédito nacional a través del terminal bancario.</w:t>
      </w:r>
    </w:p>
    <w:p>
      <w:pPr>
        <w:pStyle w:val="ListBullet"/>
        <w:spacing w:before="0" w:after="60" w:line="276" w:lineRule="auto"/>
      </w:pPr>
      <w:r>
        <w:rPr>
          <w:rFonts w:ascii="Calibri" w:hAnsi="Calibri"/>
          <w:b/>
          <w:color w:val="0F172A"/>
          <w:sz w:val="20"/>
        </w:rPr>
        <w:t xml:space="preserve">📱 Pago Móvil: </w:t>
      </w:r>
      <w:r>
        <w:rPr>
          <w:rFonts w:ascii="Calibri" w:hAnsi="Calibri"/>
          <w:color w:val="334155"/>
          <w:sz w:val="20"/>
        </w:rPr>
        <w:t>Transferencia inmediata interbancaria por telefonía móvil.</w:t>
      </w:r>
    </w:p>
    <w:p>
      <w:pPr>
        <w:pStyle w:val="ListBullet"/>
        <w:spacing w:before="0" w:after="60" w:line="276" w:lineRule="auto"/>
      </w:pPr>
      <w:r>
        <w:rPr>
          <w:rFonts w:ascii="Calibri" w:hAnsi="Calibri"/>
          <w:b/>
          <w:color w:val="0F172A"/>
          <w:sz w:val="20"/>
        </w:rPr>
        <w:t xml:space="preserve">🏦 Transferencia: </w:t>
      </w:r>
      <w:r>
        <w:rPr>
          <w:rFonts w:ascii="Calibri" w:hAnsi="Calibri"/>
          <w:color w:val="334155"/>
          <w:sz w:val="20"/>
        </w:rPr>
        <w:t>Transferencia tradicional entre cuentas del mismo banco o interbancaria.</w:t>
      </w:r>
    </w:p>
    <w:p>
      <w:pPr>
        <w:pStyle w:val="ListBullet"/>
        <w:spacing w:before="0" w:after="60" w:line="276" w:lineRule="auto"/>
      </w:pPr>
      <w:r>
        <w:rPr>
          <w:rFonts w:ascii="Calibri" w:hAnsi="Calibri"/>
          <w:b/>
          <w:color w:val="0F172A"/>
          <w:sz w:val="20"/>
        </w:rPr>
        <w:t xml:space="preserve">👆 Biopago: </w:t>
      </w:r>
      <w:r>
        <w:rPr>
          <w:rFonts w:ascii="Calibri" w:hAnsi="Calibri"/>
          <w:color w:val="334155"/>
          <w:sz w:val="20"/>
        </w:rPr>
        <w:t>Pago con huella dactilar del Banco de Venezuela.</w:t>
      </w:r>
    </w:p>
    <w:p>
      <w:pPr>
        <w:spacing w:before="0" w:after="100" w:line="276" w:lineRule="auto"/>
      </w:pPr>
      <w:r>
        <w:rPr>
          <w:rFonts w:ascii="Calibri" w:hAnsi="Calibri"/>
          <w:b/>
          <w:color w:val="0F172A"/>
          <w:sz w:val="21"/>
        </w:rPr>
        <w:t xml:space="preserve">Acción del Sistema: </w:t>
      </w:r>
      <w:r>
        <w:rPr>
          <w:rFonts w:ascii="Calibri" w:hAnsi="Calibri"/>
          <w:i w:val="0"/>
          <w:color w:val="334155"/>
          <w:sz w:val="21"/>
        </w:rPr>
        <w:t>Una vez seleccionado el método, el botón 'Procesar Venta y Emitir Ticket' se activa en verde. Al presionarlo:</w:t>
      </w:r>
    </w:p>
    <w:p>
      <w:pPr>
        <w:pStyle w:val="ListBullet"/>
        <w:spacing w:before="0" w:after="60" w:line="276" w:lineRule="auto"/>
      </w:pPr>
      <w:r>
        <w:rPr>
          <w:rFonts w:ascii="Calibri" w:hAnsi="Calibri"/>
          <w:b/>
          <w:color w:val="0F172A"/>
          <w:sz w:val="20"/>
        </w:rPr>
        <w:t xml:space="preserve">1. Rebaja de Inventario: </w:t>
      </w:r>
      <w:r>
        <w:rPr>
          <w:rFonts w:ascii="Calibri" w:hAnsi="Calibri"/>
          <w:color w:val="334155"/>
          <w:sz w:val="20"/>
        </w:rPr>
        <w:t>Se descuentan automáticamente las cantidades vendidas del stock del inventario.</w:t>
      </w:r>
    </w:p>
    <w:p>
      <w:pPr>
        <w:pStyle w:val="ListBullet"/>
        <w:spacing w:before="0" w:after="60" w:line="276" w:lineRule="auto"/>
      </w:pPr>
      <w:r>
        <w:rPr>
          <w:rFonts w:ascii="Calibri" w:hAnsi="Calibri"/>
          <w:b/>
          <w:color w:val="0F172A"/>
          <w:sz w:val="20"/>
        </w:rPr>
        <w:t xml:space="preserve">2. Asiento Contable: </w:t>
      </w:r>
      <w:r>
        <w:rPr>
          <w:rFonts w:ascii="Calibri" w:hAnsi="Calibri"/>
          <w:color w:val="334155"/>
          <w:sz w:val="20"/>
        </w:rPr>
        <w:t>Se registra el ingreso en el Libro de Ventas y en el Dashboard.</w:t>
      </w:r>
    </w:p>
    <w:p>
      <w:pPr>
        <w:pStyle w:val="ListBullet"/>
        <w:spacing w:before="0" w:after="60" w:line="276" w:lineRule="auto"/>
      </w:pPr>
      <w:r>
        <w:rPr>
          <w:rFonts w:ascii="Calibri" w:hAnsi="Calibri"/>
          <w:b/>
          <w:color w:val="0F172A"/>
          <w:sz w:val="20"/>
        </w:rPr>
        <w:t xml:space="preserve">3. Emisión de Comprobante: </w:t>
      </w:r>
      <w:r>
        <w:rPr>
          <w:rFonts w:ascii="Calibri" w:hAnsi="Calibri"/>
          <w:color w:val="334155"/>
          <w:sz w:val="20"/>
        </w:rPr>
        <w:t>Se abre en pantalla el Comprobante de Venta (Ticket de caja térmica) con número de ticket correlativo, fecha, cajero, detalle de productos, totales en $ y Bs., y método de pago.</w:t>
      </w:r>
    </w:p>
    <w:p>
      <w:pPr>
        <w:pStyle w:val="ListBullet"/>
        <w:spacing w:before="0" w:after="60" w:line="276" w:lineRule="auto"/>
      </w:pPr>
      <w:r>
        <w:rPr>
          <w:rFonts w:ascii="Calibri" w:hAnsi="Calibri"/>
          <w:b/>
          <w:color w:val="0F172A"/>
          <w:sz w:val="20"/>
        </w:rPr>
        <w:t xml:space="preserve">4. Impresión: </w:t>
      </w:r>
      <w:r>
        <w:rPr>
          <w:rFonts w:ascii="Calibri" w:hAnsi="Calibri"/>
          <w:color w:val="334155"/>
          <w:sz w:val="20"/>
        </w:rPr>
        <w:t>Puede pulsar el botón 'Imprimir Ticket' para imprimirlo en cualquier impresora térmica o guardarlo en formato PDF.</w:t>
      </w:r>
    </w:p>
    <w:p>
      <w:pPr>
        <w:pStyle w:val="Heading1"/>
        <w:spacing w:before="280" w:after="120" w:line="276" w:lineRule="auto"/>
      </w:pPr>
      <w:r>
        <w:rPr>
          <w:rFonts w:ascii="Calibri" w:hAnsi="Calibri"/>
          <w:b/>
          <w:color w:val="0F172A"/>
          <w:sz w:val="32"/>
        </w:rPr>
        <w:t>7. MÓDULO 3: CONTROL DE INVENTARIO Y STOCK</w:t>
      </w:r>
    </w:p>
    <w:p>
      <w:pPr>
        <w:spacing w:before="0" w:after="100" w:line="276" w:lineRule="auto"/>
      </w:pPr>
      <w:r>
        <w:rPr>
          <w:rFonts w:ascii="Calibri" w:hAnsi="Calibri"/>
          <w:i w:val="0"/>
          <w:color w:val="334155"/>
          <w:sz w:val="21"/>
        </w:rPr>
        <w:t>El módulo de inventario permite la administración rigurosa de las existencias, costos y precios de venta de todos los rubros comercializados por 'La Salsa de Ajo C.A.'.</w:t>
      </w:r>
    </w:p>
    <w:p>
      <w:pPr>
        <w:pStyle w:val="Heading2"/>
        <w:spacing w:before="200" w:after="80" w:line="276" w:lineRule="auto"/>
      </w:pPr>
      <w:r>
        <w:rPr>
          <w:rFonts w:ascii="Calibri" w:hAnsi="Calibri"/>
          <w:b/>
          <w:color w:val="D97706"/>
          <w:sz w:val="26"/>
        </w:rPr>
        <w:t>7.1. Tabla General y Semáforo de Estado</w:t>
      </w:r>
    </w:p>
    <w:p>
      <w:pPr>
        <w:spacing w:before="0" w:after="100" w:line="276" w:lineRule="auto"/>
      </w:pPr>
      <w:r>
        <w:rPr>
          <w:rFonts w:ascii="Calibri" w:hAnsi="Calibri"/>
          <w:i w:val="0"/>
          <w:color w:val="334155"/>
          <w:sz w:val="21"/>
        </w:rPr>
        <w:t>La tabla presenta para cada artículo: Código, Nombre, Categoría, Unidad de Medida (Kg, Unidad, Frasco, Paquete, Litro), Costo de Compra ($), Precio de Venta ($), Precio de Venta en Bolívares (Bs.), Stock Actual y Estado Contable.</w:t>
      </w:r>
    </w:p>
    <w:tbl>
      <w:tblPr>
        <w:tblW w:type="auto" w:w="0"/>
        <w:jc w:val="center"/>
        <w:tblLayout w:type="fixed"/>
        <w:tblLook w:firstColumn="1" w:firstRow="1" w:lastColumn="0" w:lastRow="0" w:noHBand="0" w:noVBand="1" w:val="04A0"/>
      </w:tblPr>
      <w:tblGrid>
        <w:gridCol w:w="4824"/>
        <w:gridCol w:w="4824"/>
      </w:tblGrid>
      <w:tr>
        <w:tc>
          <w:tcPr>
            <w:tcW w:type="dxa" w:w="2880"/>
            <w:shd w:fill="0F172A"/>
            <w:tcMar>
              <w:top w:w="110" w:type="dxa"/>
              <w:bottom w:w="110" w:type="dxa"/>
              <w:left w:w="130" w:type="dxa"/>
              <w:right w:w="130" w:type="dxa"/>
            </w:tcMar>
          </w:tcPr>
          <w:p>
            <w:pPr>
              <w:spacing w:before="0" w:after="0"/>
              <w:jc w:val="center"/>
            </w:pPr>
            <w:r>
              <w:rPr>
                <w:rFonts w:ascii="Calibri" w:hAnsi="Calibri"/>
                <w:b/>
                <w:color w:val="FFFFFF"/>
                <w:sz w:val="19"/>
              </w:rPr>
              <w:t>Estado de Stock</w:t>
            </w:r>
          </w:p>
        </w:tc>
        <w:tc>
          <w:tcPr>
            <w:tcW w:type="dxa" w:w="6768"/>
            <w:shd w:fill="0F172A"/>
            <w:tcMar>
              <w:top w:w="110" w:type="dxa"/>
              <w:bottom w:w="110" w:type="dxa"/>
              <w:left w:w="130" w:type="dxa"/>
              <w:right w:w="130" w:type="dxa"/>
            </w:tcMar>
          </w:tcPr>
          <w:p>
            <w:pPr>
              <w:spacing w:before="0" w:after="0"/>
              <w:jc w:val="center"/>
            </w:pPr>
            <w:r>
              <w:rPr>
                <w:rFonts w:ascii="Calibri" w:hAnsi="Calibri"/>
                <w:b/>
                <w:color w:val="FFFFFF"/>
                <w:sz w:val="19"/>
              </w:rPr>
              <w:t>Criterio y Alerta Contable</w:t>
            </w:r>
          </w:p>
        </w:tc>
      </w:tr>
      <w:tr>
        <w:tc>
          <w:tcPr>
            <w:tcW w:type="dxa" w:w="28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En Stock</w:t>
            </w:r>
          </w:p>
        </w:tc>
        <w:tc>
          <w:tcPr>
            <w:tcW w:type="dxa" w:w="67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Existencias suficientes y normales para la comercialización. Badge Verde.</w:t>
            </w:r>
          </w:p>
        </w:tc>
      </w:tr>
      <w:tr>
        <w:tc>
          <w:tcPr>
            <w:tcW w:type="dxa" w:w="288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Stock Bajo</w:t>
            </w:r>
          </w:p>
        </w:tc>
        <w:tc>
          <w:tcPr>
            <w:tcW w:type="dxa" w:w="676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Existencias menores a 5 unidades o 5 kilogramos. Indica que debe gestionarse orden de compra a proveedores. Badge Amarillo / Naranja.</w:t>
            </w:r>
          </w:p>
        </w:tc>
      </w:tr>
      <w:tr>
        <w:tc>
          <w:tcPr>
            <w:tcW w:type="dxa" w:w="288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jc w:val="center"/>
            </w:pPr>
            <w:r>
              <w:rPr>
                <w:rFonts w:ascii="Calibri" w:hAnsi="Calibri"/>
                <w:color w:val="334155"/>
                <w:sz w:val="18"/>
              </w:rPr>
              <w:t>Agotado</w:t>
            </w:r>
          </w:p>
        </w:tc>
        <w:tc>
          <w:tcPr>
            <w:tcW w:type="dxa" w:w="676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Existencias en 0.00. El producto no puede ser vendido en el POS hasta que se reponga. Badge Rojo.</w:t>
            </w:r>
          </w:p>
        </w:tc>
      </w:tr>
    </w:tbl>
    <w:p>
      <w:pPr>
        <w:spacing w:after="160"/>
      </w:pPr>
    </w:p>
    <w:p>
      <w:pPr>
        <w:pStyle w:val="Heading2"/>
        <w:spacing w:before="200" w:after="80" w:line="276" w:lineRule="auto"/>
      </w:pPr>
      <w:r>
        <w:rPr>
          <w:rFonts w:ascii="Calibri" w:hAnsi="Calibri"/>
          <w:b/>
          <w:color w:val="D97706"/>
          <w:sz w:val="26"/>
        </w:rPr>
        <w:t>7.2. Registro de Nuevos Productos</w:t>
      </w:r>
    </w:p>
    <w:p>
      <w:pPr>
        <w:spacing w:before="0" w:after="100" w:line="276" w:lineRule="auto"/>
      </w:pPr>
      <w:r>
        <w:rPr>
          <w:rFonts w:ascii="Calibri" w:hAnsi="Calibri"/>
          <w:b/>
          <w:color w:val="0F172A"/>
          <w:sz w:val="21"/>
        </w:rPr>
        <w:t xml:space="preserve">Procedimiento: </w:t>
      </w:r>
      <w:r>
        <w:rPr>
          <w:rFonts w:ascii="Calibri" w:hAnsi="Calibri"/>
          <w:i w:val="0"/>
          <w:color w:val="334155"/>
          <w:sz w:val="21"/>
        </w:rPr>
        <w:t>Para incorporar un nuevo rubro al catálogo comercial:</w:t>
      </w:r>
    </w:p>
    <w:p>
      <w:pPr>
        <w:pStyle w:val="ListBullet"/>
        <w:spacing w:before="0" w:after="60" w:line="276" w:lineRule="auto"/>
      </w:pPr>
      <w:r>
        <w:rPr>
          <w:rFonts w:ascii="Calibri" w:hAnsi="Calibri"/>
          <w:b/>
          <w:color w:val="0F172A"/>
          <w:sz w:val="20"/>
        </w:rPr>
        <w:t xml:space="preserve">Paso 1: </w:t>
      </w:r>
      <w:r>
        <w:rPr>
          <w:rFonts w:ascii="Calibri" w:hAnsi="Calibri"/>
          <w:color w:val="334155"/>
          <w:sz w:val="20"/>
        </w:rPr>
        <w:t>Haga clic en el botón superior azul '+ Nuevo Producto'.</w:t>
      </w:r>
    </w:p>
    <w:p>
      <w:pPr>
        <w:pStyle w:val="ListBullet"/>
        <w:spacing w:before="0" w:after="60" w:line="276" w:lineRule="auto"/>
      </w:pPr>
      <w:r>
        <w:rPr>
          <w:rFonts w:ascii="Calibri" w:hAnsi="Calibri"/>
          <w:b/>
          <w:color w:val="0F172A"/>
          <w:sz w:val="20"/>
        </w:rPr>
        <w:t xml:space="preserve">Paso 2: </w:t>
      </w:r>
      <w:r>
        <w:rPr>
          <w:rFonts w:ascii="Calibri" w:hAnsi="Calibri"/>
          <w:color w:val="334155"/>
          <w:sz w:val="20"/>
        </w:rPr>
        <w:t>Complete el formulario en la ventana emergente: Código/SKU (ej: SA-003), Categoría, Nombre descriptivo, Unidad de medida, Stock inicial, Costo de compra en dólares y Precio de venta al público en dólares.</w:t>
      </w:r>
    </w:p>
    <w:p>
      <w:pPr>
        <w:pStyle w:val="ListBullet"/>
        <w:spacing w:before="0" w:after="60" w:line="276" w:lineRule="auto"/>
      </w:pPr>
      <w:r>
        <w:rPr>
          <w:rFonts w:ascii="Calibri" w:hAnsi="Calibri"/>
          <w:b/>
          <w:color w:val="0F172A"/>
          <w:sz w:val="20"/>
        </w:rPr>
        <w:t xml:space="preserve">Paso 3: </w:t>
      </w:r>
      <w:r>
        <w:rPr>
          <w:rFonts w:ascii="Calibri" w:hAnsi="Calibri"/>
          <w:color w:val="334155"/>
          <w:sz w:val="20"/>
        </w:rPr>
        <w:t>Haga clic en 'Guardar Producto'. El producto quedará registrado de inmediato y disponible para la venta.</w:t>
      </w:r>
    </w:p>
    <w:p>
      <w:pPr>
        <w:pStyle w:val="Heading2"/>
        <w:spacing w:before="200" w:after="80" w:line="276" w:lineRule="auto"/>
      </w:pPr>
      <w:r>
        <w:rPr>
          <w:rFonts w:ascii="Calibri" w:hAnsi="Calibri"/>
          <w:b/>
          <w:color w:val="D97706"/>
          <w:sz w:val="26"/>
        </w:rPr>
        <w:t>7.3. Edición de Precios, Costos y Cantidades</w:t>
      </w:r>
    </w:p>
    <w:p>
      <w:pPr>
        <w:spacing w:before="0" w:after="100" w:line="276" w:lineRule="auto"/>
      </w:pPr>
      <w:r>
        <w:rPr>
          <w:rFonts w:ascii="Calibri" w:hAnsi="Calibri"/>
          <w:i w:val="0"/>
          <w:color w:val="334155"/>
          <w:sz w:val="21"/>
        </w:rPr>
        <w:t>Al pulsar el botón 'Editar' en cualquier fila de la tabla, se abre el formulario precargado con los datos del artículo. Esto permite actualizar los precios ante variaciones inflacionarias o registrar ingresos de mercancía.</w:t>
      </w:r>
    </w:p>
    <w:p>
      <w:pPr>
        <w:pStyle w:val="Heading2"/>
        <w:spacing w:before="200" w:after="80" w:line="276" w:lineRule="auto"/>
      </w:pPr>
      <w:r>
        <w:rPr>
          <w:rFonts w:ascii="Calibri" w:hAnsi="Calibri"/>
          <w:b/>
          <w:color w:val="D97706"/>
          <w:sz w:val="26"/>
        </w:rPr>
        <w:t>7.4. Exportación a Formato Excel</w:t>
      </w:r>
    </w:p>
    <w:p>
      <w:pPr>
        <w:spacing w:before="0" w:after="100" w:line="276" w:lineRule="auto"/>
      </w:pPr>
      <w:r>
        <w:rPr>
          <w:rFonts w:ascii="Calibri" w:hAnsi="Calibri"/>
          <w:i w:val="0"/>
          <w:color w:val="334155"/>
          <w:sz w:val="21"/>
        </w:rPr>
        <w:t>Al presionar el botón 'Exportar Excel', el sistema genera y descarga automáticamente un archivo de hoja de cálculo (.CSV con codificación UTF-8 BOM). Este archivo abre directamente en Microsoft Excel con todos los nombres, tildes y decimales perfectamente tabulados para auditorías o copias físicas.</w:t>
      </w:r>
    </w:p>
    <w:p>
      <w:pPr>
        <w:pStyle w:val="Heading1"/>
        <w:spacing w:before="280" w:after="120" w:line="276" w:lineRule="auto"/>
      </w:pPr>
      <w:r>
        <w:rPr>
          <w:rFonts w:ascii="Calibri" w:hAnsi="Calibri"/>
          <w:b/>
          <w:color w:val="0F172A"/>
          <w:sz w:val="32"/>
        </w:rPr>
        <w:t>8. MÓDULO 4: REGISTRO DE GASTOS Y SALIDAS DE EFECTIVO</w:t>
      </w:r>
    </w:p>
    <w:p>
      <w:pPr>
        <w:spacing w:before="0" w:after="100" w:line="276" w:lineRule="auto"/>
      </w:pPr>
      <w:r>
        <w:rPr>
          <w:rFonts w:ascii="Calibri" w:hAnsi="Calibri"/>
          <w:i w:val="0"/>
          <w:color w:val="334155"/>
          <w:sz w:val="21"/>
        </w:rPr>
        <w:t>El control de los egresos es indispensable para determinar la utilidad real del negocio y evitar fugas de dinero. Este módulo registra cada desembolso realizado por la administración.</w:t>
      </w:r>
    </w:p>
    <w:p>
      <w:pPr>
        <w:pStyle w:val="Heading2"/>
        <w:spacing w:before="200" w:after="80" w:line="276" w:lineRule="auto"/>
      </w:pPr>
      <w:r>
        <w:rPr>
          <w:rFonts w:ascii="Calibri" w:hAnsi="Calibri"/>
          <w:b/>
          <w:color w:val="D97706"/>
          <w:sz w:val="26"/>
        </w:rPr>
        <w:t>8.1. Registro de un Gasto Paso a Paso</w:t>
      </w:r>
    </w:p>
    <w:p>
      <w:pPr>
        <w:pStyle w:val="ListBullet"/>
        <w:spacing w:before="0" w:after="60" w:line="276" w:lineRule="auto"/>
      </w:pPr>
      <w:r>
        <w:rPr>
          <w:rFonts w:ascii="Calibri" w:hAnsi="Calibri"/>
          <w:b/>
          <w:color w:val="0F172A"/>
          <w:sz w:val="20"/>
        </w:rPr>
        <w:t xml:space="preserve">Paso 1: </w:t>
      </w:r>
      <w:r>
        <w:rPr>
          <w:rFonts w:ascii="Calibri" w:hAnsi="Calibri"/>
          <w:color w:val="334155"/>
          <w:sz w:val="20"/>
        </w:rPr>
        <w:t>Presione el botón rojo '+ Registrar Gasto / Compra'.</w:t>
      </w:r>
    </w:p>
    <w:p>
      <w:pPr>
        <w:pStyle w:val="ListBullet"/>
        <w:spacing w:before="0" w:after="60" w:line="276" w:lineRule="auto"/>
      </w:pPr>
      <w:r>
        <w:rPr>
          <w:rFonts w:ascii="Calibri" w:hAnsi="Calibri"/>
          <w:b/>
          <w:color w:val="0F172A"/>
          <w:sz w:val="20"/>
        </w:rPr>
        <w:t xml:space="preserve">Paso 2: </w:t>
      </w:r>
      <w:r>
        <w:rPr>
          <w:rFonts w:ascii="Calibri" w:hAnsi="Calibri"/>
          <w:color w:val="334155"/>
          <w:sz w:val="20"/>
        </w:rPr>
        <w:t>Indique el Beneficiario o Proveedor (ejemplo: 'Distribuidora Lácteos Lara C.A.', 'Servicio Eléctrico Corp.').</w:t>
      </w:r>
    </w:p>
    <w:p>
      <w:pPr>
        <w:pStyle w:val="ListBullet"/>
        <w:spacing w:before="0" w:after="60" w:line="276" w:lineRule="auto"/>
      </w:pPr>
      <w:r>
        <w:rPr>
          <w:rFonts w:ascii="Calibri" w:hAnsi="Calibri"/>
          <w:b/>
          <w:color w:val="0F172A"/>
          <w:sz w:val="20"/>
        </w:rPr>
        <w:t xml:space="preserve">Paso 3: </w:t>
      </w:r>
      <w:r>
        <w:rPr>
          <w:rFonts w:ascii="Calibri" w:hAnsi="Calibri"/>
          <w:color w:val="334155"/>
          <w:sz w:val="20"/>
        </w:rPr>
        <w:t>Describa el Concepto de la salida (ejemplo: 'Compra de 20 Kg de Queso Llanero', 'Pago mensual de electricidad').</w:t>
      </w:r>
    </w:p>
    <w:p>
      <w:pPr>
        <w:pStyle w:val="ListBullet"/>
        <w:spacing w:before="0" w:after="60" w:line="276" w:lineRule="auto"/>
      </w:pPr>
      <w:r>
        <w:rPr>
          <w:rFonts w:ascii="Calibri" w:hAnsi="Calibri"/>
          <w:b/>
          <w:color w:val="0F172A"/>
          <w:sz w:val="20"/>
        </w:rPr>
        <w:t xml:space="preserve">Paso 4: </w:t>
      </w:r>
      <w:r>
        <w:rPr>
          <w:rFonts w:ascii="Calibri" w:hAnsi="Calibri"/>
          <w:color w:val="334155"/>
          <w:sz w:val="20"/>
        </w:rPr>
        <w:t>Seleccione la Categoría Contable adecuada: Compra de Mercancía (Inventario), Pago de Servicios (Luz, Agua, Internet), Fletes y Transporte, Empaques y Suministros, Mantenimiento de Equipos o Gastos Operativos / Varios.</w:t>
      </w:r>
    </w:p>
    <w:p>
      <w:pPr>
        <w:pStyle w:val="ListBullet"/>
        <w:spacing w:before="0" w:after="60" w:line="276" w:lineRule="auto"/>
      </w:pPr>
      <w:r>
        <w:rPr>
          <w:rFonts w:ascii="Calibri" w:hAnsi="Calibri"/>
          <w:b/>
          <w:color w:val="0F172A"/>
          <w:sz w:val="20"/>
        </w:rPr>
        <w:t xml:space="preserve">Paso 5: </w:t>
      </w:r>
      <w:r>
        <w:rPr>
          <w:rFonts w:ascii="Calibri" w:hAnsi="Calibri"/>
          <w:color w:val="334155"/>
          <w:sz w:val="20"/>
        </w:rPr>
        <w:t>Indique la modalidad de pago utilizada (Efectivo $, Efectivo Bs, Pago Móvil, Transferencia).</w:t>
      </w:r>
    </w:p>
    <w:p>
      <w:pPr>
        <w:pStyle w:val="ListBullet"/>
        <w:spacing w:before="0" w:after="60" w:line="276" w:lineRule="auto"/>
      </w:pPr>
      <w:r>
        <w:rPr>
          <w:rFonts w:ascii="Calibri" w:hAnsi="Calibri"/>
          <w:b/>
          <w:color w:val="0F172A"/>
          <w:sz w:val="20"/>
        </w:rPr>
        <w:t xml:space="preserve">Paso 6: </w:t>
      </w:r>
      <w:r>
        <w:rPr>
          <w:rFonts w:ascii="Calibri" w:hAnsi="Calibri"/>
          <w:color w:val="334155"/>
          <w:sz w:val="20"/>
        </w:rPr>
        <w:t>Ingrese el Monto en Dólares ($) y verifique la fecha del comprobante.</w:t>
      </w:r>
    </w:p>
    <w:p>
      <w:pPr>
        <w:pStyle w:val="ListBullet"/>
        <w:spacing w:before="0" w:after="60" w:line="276" w:lineRule="auto"/>
      </w:pPr>
      <w:r>
        <w:rPr>
          <w:rFonts w:ascii="Calibri" w:hAnsi="Calibri"/>
          <w:b/>
          <w:color w:val="0F172A"/>
          <w:sz w:val="20"/>
        </w:rPr>
        <w:t xml:space="preserve">Paso 7: </w:t>
      </w:r>
      <w:r>
        <w:rPr>
          <w:rFonts w:ascii="Calibri" w:hAnsi="Calibri"/>
          <w:color w:val="334155"/>
          <w:sz w:val="20"/>
        </w:rPr>
        <w:t>Presione 'Registrar Salida'. El monto se deducirá de los saldos netos y se reflejará en los reportes y en el arqueo diario.</w:t>
      </w:r>
    </w:p>
    <w:p>
      <w:pPr>
        <w:pStyle w:val="Heading2"/>
        <w:spacing w:before="200" w:after="80" w:line="276" w:lineRule="auto"/>
      </w:pPr>
      <w:r>
        <w:rPr>
          <w:rFonts w:ascii="Calibri" w:hAnsi="Calibri"/>
          <w:b/>
          <w:color w:val="D97706"/>
          <w:sz w:val="26"/>
        </w:rPr>
        <w:t>8.2. Exportación del Libro de Gastos</w:t>
      </w:r>
    </w:p>
    <w:p>
      <w:pPr>
        <w:spacing w:before="0" w:after="100" w:line="276" w:lineRule="auto"/>
      </w:pPr>
      <w:r>
        <w:rPr>
          <w:rFonts w:ascii="Calibri" w:hAnsi="Calibri"/>
          <w:i w:val="0"/>
          <w:color w:val="334155"/>
          <w:sz w:val="21"/>
        </w:rPr>
        <w:t>El botón 'Exportar Gastos' genera una planilla electrónica en Excel con el historial completo de egresos, con identificación de fechas, proveedores, cuentas de gasto y montos en divisas y bolívares.</w:t>
      </w:r>
    </w:p>
    <w:p>
      <w:pPr>
        <w:pStyle w:val="Heading1"/>
        <w:spacing w:before="280" w:after="120" w:line="276" w:lineRule="auto"/>
      </w:pPr>
      <w:r>
        <w:rPr>
          <w:rFonts w:ascii="Calibri" w:hAnsi="Calibri"/>
          <w:b/>
          <w:color w:val="0F172A"/>
          <w:sz w:val="32"/>
        </w:rPr>
        <w:t>9. MÓDULO 5: ARQUEO Y CIERRE DIARIO DE CAJA</w:t>
      </w:r>
    </w:p>
    <w:p>
      <w:pPr>
        <w:spacing w:before="0" w:after="100" w:line="276" w:lineRule="auto"/>
      </w:pPr>
      <w:r>
        <w:rPr>
          <w:rFonts w:ascii="Calibri" w:hAnsi="Calibri"/>
          <w:i w:val="0"/>
          <w:color w:val="334155"/>
          <w:sz w:val="21"/>
        </w:rPr>
        <w:t>El Arqueo y Cierre Diario de Caja es uno de los instrumentos contables de mayor rigor académico y práctico. Permite conciliar y comprobar que el dinero físico en posesión del cajero coincida con los registros del sistema.</w:t>
      </w:r>
    </w:p>
    <w:p>
      <w:pPr>
        <w:pStyle w:val="Heading2"/>
        <w:spacing w:before="200" w:after="80" w:line="276" w:lineRule="auto"/>
      </w:pPr>
      <w:r>
        <w:rPr>
          <w:rFonts w:ascii="Calibri" w:hAnsi="Calibri"/>
          <w:b/>
          <w:color w:val="D97706"/>
          <w:sz w:val="26"/>
        </w:rPr>
        <w:t>9.1. Conciliación Automática del Flujo de Efectivo</w:t>
      </w:r>
    </w:p>
    <w:p>
      <w:pPr>
        <w:spacing w:before="0" w:after="100" w:line="276" w:lineRule="auto"/>
      </w:pPr>
      <w:r>
        <w:rPr>
          <w:rFonts w:ascii="Calibri" w:hAnsi="Calibri"/>
          <w:i w:val="0"/>
          <w:color w:val="334155"/>
          <w:sz w:val="21"/>
        </w:rPr>
        <w:t>El sistema realiza el cálculo contable automático en pantalla:</w:t>
      </w:r>
    </w:p>
    <w:p>
      <w:pPr>
        <w:pStyle w:val="ListBullet"/>
        <w:spacing w:before="0" w:after="60" w:line="276" w:lineRule="auto"/>
      </w:pPr>
      <w:r>
        <w:rPr>
          <w:rFonts w:ascii="Calibri" w:hAnsi="Calibri"/>
          <w:b/>
          <w:color w:val="0F172A"/>
          <w:sz w:val="20"/>
        </w:rPr>
        <w:t xml:space="preserve">Desglose de Ingresos: </w:t>
      </w:r>
      <w:r>
        <w:rPr>
          <w:rFonts w:ascii="Calibri" w:hAnsi="Calibri"/>
          <w:color w:val="334155"/>
          <w:sz w:val="20"/>
        </w:rPr>
        <w:t>Ventas Efectivo Divisas ($), Efectivo Bolívares (Bs.), Punto de Venta, Pago Móvil y Transferencia.</w:t>
      </w:r>
    </w:p>
    <w:p>
      <w:pPr>
        <w:pStyle w:val="ListBullet"/>
        <w:spacing w:before="0" w:after="60" w:line="276" w:lineRule="auto"/>
      </w:pPr>
      <w:r>
        <w:rPr>
          <w:rFonts w:ascii="Calibri" w:hAnsi="Calibri"/>
          <w:b/>
          <w:color w:val="0F172A"/>
          <w:sz w:val="20"/>
        </w:rPr>
        <w:t xml:space="preserve">Total Ventas Brutas: </w:t>
      </w:r>
      <w:r>
        <w:rPr>
          <w:rFonts w:ascii="Calibri" w:hAnsi="Calibri"/>
          <w:color w:val="334155"/>
          <w:sz w:val="20"/>
        </w:rPr>
        <w:t>Suma total bruta facturada en el día.</w:t>
      </w:r>
    </w:p>
    <w:p>
      <w:pPr>
        <w:pStyle w:val="ListBullet"/>
        <w:spacing w:before="0" w:after="60" w:line="276" w:lineRule="auto"/>
      </w:pPr>
      <w:r>
        <w:rPr>
          <w:rFonts w:ascii="Calibri" w:hAnsi="Calibri"/>
          <w:b/>
          <w:color w:val="0F172A"/>
          <w:sz w:val="20"/>
        </w:rPr>
        <w:t xml:space="preserve">(-) Egresos en Efectivo: </w:t>
      </w:r>
      <w:r>
        <w:rPr>
          <w:rFonts w:ascii="Calibri" w:hAnsi="Calibri"/>
          <w:color w:val="334155"/>
          <w:sz w:val="20"/>
        </w:rPr>
        <w:t>Suma de aquellos gastos cancelados estrictamente con dinero de la gaveta de caja.</w:t>
      </w:r>
    </w:p>
    <w:p>
      <w:pPr>
        <w:pStyle w:val="ListBullet"/>
        <w:spacing w:before="0" w:after="60" w:line="276" w:lineRule="auto"/>
      </w:pPr>
      <w:r>
        <w:rPr>
          <w:rFonts w:ascii="Calibri" w:hAnsi="Calibri"/>
          <w:b/>
          <w:color w:val="0F172A"/>
          <w:sz w:val="20"/>
        </w:rPr>
        <w:t xml:space="preserve">EFECTIVO ESPERADO EN CAJA ($): </w:t>
      </w:r>
      <w:r>
        <w:rPr>
          <w:rFonts w:ascii="Calibri" w:hAnsi="Calibri"/>
          <w:color w:val="334155"/>
          <w:sz w:val="20"/>
        </w:rPr>
        <w:t>Resultado de la fórmula: Ventas en Efectivo ($) menos Egresos pagados en Efectivo ($). Este es el monto que DEBE existir físicamente.</w:t>
      </w:r>
    </w:p>
    <w:p>
      <w:pPr>
        <w:pStyle w:val="Heading2"/>
        <w:spacing w:before="200" w:after="80" w:line="276" w:lineRule="auto"/>
      </w:pPr>
      <w:r>
        <w:rPr>
          <w:rFonts w:ascii="Calibri" w:hAnsi="Calibri"/>
          <w:b/>
          <w:color w:val="D97706"/>
          <w:sz w:val="26"/>
        </w:rPr>
        <w:t>9.2. Conteo Físico y Determinación de Diferencias</w:t>
      </w:r>
    </w:p>
    <w:p>
      <w:pPr>
        <w:spacing w:before="0" w:after="100" w:line="276" w:lineRule="auto"/>
      </w:pPr>
      <w:r>
        <w:rPr>
          <w:rFonts w:ascii="Calibri" w:hAnsi="Calibri"/>
          <w:i w:val="0"/>
          <w:color w:val="334155"/>
          <w:sz w:val="21"/>
        </w:rPr>
        <w:t>El responsable del cierre debe contar físicamente los billetes e ingresar:</w:t>
      </w:r>
    </w:p>
    <w:p>
      <w:pPr>
        <w:pStyle w:val="ListBullet"/>
        <w:spacing w:before="0" w:after="60" w:line="276" w:lineRule="auto"/>
      </w:pPr>
      <w:r>
        <w:rPr>
          <w:rFonts w:ascii="Calibri" w:hAnsi="Calibri"/>
          <w:b/>
          <w:color w:val="0F172A"/>
          <w:sz w:val="20"/>
        </w:rPr>
        <w:t xml:space="preserve">1. Total Efectivo Real Contado en Caja ($): </w:t>
      </w:r>
      <w:r>
        <w:rPr>
          <w:rFonts w:ascii="Calibri" w:hAnsi="Calibri"/>
          <w:color w:val="334155"/>
          <w:sz w:val="20"/>
        </w:rPr>
        <w:t>Monto en dólares contados en el cajón.</w:t>
      </w:r>
    </w:p>
    <w:p>
      <w:pPr>
        <w:pStyle w:val="ListBullet"/>
        <w:spacing w:before="0" w:after="60" w:line="276" w:lineRule="auto"/>
      </w:pPr>
      <w:r>
        <w:rPr>
          <w:rFonts w:ascii="Calibri" w:hAnsi="Calibri"/>
          <w:b/>
          <w:color w:val="0F172A"/>
          <w:sz w:val="20"/>
        </w:rPr>
        <w:t xml:space="preserve">2. Total Efectivo Real Contado en Bolívares (Bs): </w:t>
      </w:r>
      <w:r>
        <w:rPr>
          <w:rFonts w:ascii="Calibri" w:hAnsi="Calibri"/>
          <w:color w:val="334155"/>
          <w:sz w:val="20"/>
        </w:rPr>
        <w:t>Monto en bolívares físicos contados en el cajón.</w:t>
      </w:r>
    </w:p>
    <w:p>
      <w:pPr>
        <w:pStyle w:val="ListBullet"/>
        <w:spacing w:before="0" w:after="60" w:line="276" w:lineRule="auto"/>
      </w:pPr>
      <w:r>
        <w:rPr>
          <w:rFonts w:ascii="Calibri" w:hAnsi="Calibri"/>
          <w:b/>
          <w:color w:val="0F172A"/>
          <w:sz w:val="20"/>
        </w:rPr>
        <w:t xml:space="preserve">3. Observaciones del Arqueo: </w:t>
      </w:r>
      <w:r>
        <w:rPr>
          <w:rFonts w:ascii="Calibri" w:hAnsi="Calibri"/>
          <w:color w:val="334155"/>
          <w:sz w:val="20"/>
        </w:rPr>
        <w:t>Cualquier detalle relevante (ej. 'Se canceló flete de emergencia con soporte #445').</w:t>
      </w:r>
    </w:p>
    <w:p>
      <w:pPr>
        <w:spacing w:before="0" w:after="100" w:line="276" w:lineRule="auto"/>
      </w:pPr>
      <w:r>
        <w:rPr>
          <w:rFonts w:ascii="Calibri" w:hAnsi="Calibri"/>
          <w:b/>
          <w:color w:val="0F172A"/>
          <w:sz w:val="21"/>
        </w:rPr>
        <w:t xml:space="preserve">Cálculo de Discrepancia: </w:t>
      </w:r>
      <w:r>
        <w:rPr>
          <w:rFonts w:ascii="Calibri" w:hAnsi="Calibri"/>
          <w:i w:val="0"/>
          <w:color w:val="334155"/>
          <w:sz w:val="21"/>
        </w:rPr>
        <w:t>En tiempo real, el sistema compara el Efectivo Físico contra el Efectivo Esperado y emite el veredicto contable:</w:t>
      </w:r>
    </w:p>
    <w:tbl>
      <w:tblPr>
        <w:tblW w:type="auto" w:w="0"/>
        <w:jc w:val="center"/>
        <w:tblLayout w:type="fixed"/>
        <w:tblLook w:firstColumn="1" w:firstRow="1" w:lastColumn="0" w:lastRow="0" w:noHBand="0" w:noVBand="1" w:val="04A0"/>
      </w:tblPr>
      <w:tblGrid>
        <w:gridCol w:w="4824"/>
        <w:gridCol w:w="4824"/>
      </w:tblGrid>
      <w:tr>
        <w:tc>
          <w:tcPr>
            <w:tcW w:type="dxa" w:w="3312"/>
            <w:shd w:fill="0F172A"/>
            <w:tcMar>
              <w:top w:w="110" w:type="dxa"/>
              <w:bottom w:w="110" w:type="dxa"/>
              <w:left w:w="130" w:type="dxa"/>
              <w:right w:w="130" w:type="dxa"/>
            </w:tcMar>
          </w:tcPr>
          <w:p>
            <w:pPr>
              <w:spacing w:before="0" w:after="0"/>
              <w:jc w:val="center"/>
            </w:pPr>
            <w:r>
              <w:rPr>
                <w:rFonts w:ascii="Calibri" w:hAnsi="Calibri"/>
                <w:b/>
                <w:color w:val="FFFFFF"/>
                <w:sz w:val="19"/>
              </w:rPr>
              <w:t>Resultado del Arqueo</w:t>
            </w:r>
          </w:p>
        </w:tc>
        <w:tc>
          <w:tcPr>
            <w:tcW w:type="dxa" w:w="6336"/>
            <w:shd w:fill="0F172A"/>
            <w:tcMar>
              <w:top w:w="110" w:type="dxa"/>
              <w:bottom w:w="110" w:type="dxa"/>
              <w:left w:w="130" w:type="dxa"/>
              <w:right w:w="130" w:type="dxa"/>
            </w:tcMar>
          </w:tcPr>
          <w:p>
            <w:pPr>
              <w:spacing w:before="0" w:after="0"/>
              <w:jc w:val="center"/>
            </w:pPr>
            <w:r>
              <w:rPr>
                <w:rFonts w:ascii="Calibri" w:hAnsi="Calibri"/>
                <w:b/>
                <w:color w:val="FFFFFF"/>
                <w:sz w:val="19"/>
              </w:rPr>
              <w:t>Interpretación y Acción Contable</w:t>
            </w:r>
          </w:p>
        </w:tc>
      </w:tr>
      <w:tr>
        <w:tc>
          <w:tcPr>
            <w:tcW w:type="dxa" w:w="3312"/>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Caja Cuadrada ($0.00)</w:t>
            </w:r>
          </w:p>
        </w:tc>
        <w:tc>
          <w:tcPr>
            <w:tcW w:type="dxa" w:w="6336"/>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El conteo físico coincide con exactitud con el registro del sistema. Indicador Verde de conformidad.</w:t>
            </w:r>
          </w:p>
        </w:tc>
      </w:tr>
      <w:tr>
        <w:tc>
          <w:tcPr>
            <w:tcW w:type="dxa" w:w="3312"/>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Sobrante de Caja (+$)</w:t>
            </w:r>
          </w:p>
        </w:tc>
        <w:tc>
          <w:tcPr>
            <w:tcW w:type="dxa" w:w="6336"/>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Existe más dinero físico en gaveta del registrado. Requiere revisar si se omitió registrar alguna venta. Indicador Azul.</w:t>
            </w:r>
          </w:p>
        </w:tc>
      </w:tr>
      <w:tr>
        <w:tc>
          <w:tcPr>
            <w:tcW w:type="dxa" w:w="3312"/>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Faltante de Caja (-$)</w:t>
            </w:r>
          </w:p>
        </w:tc>
        <w:tc>
          <w:tcPr>
            <w:tcW w:type="dxa" w:w="6336"/>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Falta dinero físico en gaveta respecto al esperado. Requiere revisión de comprobantes o responsabilidad de caja. Indicador Rojo.</w:t>
            </w:r>
          </w:p>
        </w:tc>
      </w:tr>
    </w:tbl>
    <w:p>
      <w:pPr>
        <w:spacing w:after="160"/>
      </w:pPr>
    </w:p>
    <w:p>
      <w:pPr>
        <w:pStyle w:val="Heading2"/>
        <w:spacing w:before="200" w:after="80" w:line="276" w:lineRule="auto"/>
      </w:pPr>
      <w:r>
        <w:rPr>
          <w:rFonts w:ascii="Calibri" w:hAnsi="Calibri"/>
          <w:b/>
          <w:color w:val="D97706"/>
          <w:sz w:val="26"/>
        </w:rPr>
        <w:t>9.3. Guardado e Historial de Cierres</w:t>
      </w:r>
    </w:p>
    <w:p>
      <w:pPr>
        <w:spacing w:before="0" w:after="100" w:line="276" w:lineRule="auto"/>
      </w:pPr>
      <w:r>
        <w:rPr>
          <w:rFonts w:ascii="Calibri" w:hAnsi="Calibri"/>
          <w:i w:val="0"/>
          <w:color w:val="334155"/>
          <w:sz w:val="21"/>
        </w:rPr>
        <w:t>Al presionar 'Guardar y Cerrar Jornada Contable', el arqueo queda asentado de forma indeleble en el historial derecho, con fecha, montos esperados, montos reales, diferencia contable y estado. Este historial puede ser exportado a Excel mediante el botón 'Exportar Historial'.</w:t>
      </w:r>
    </w:p>
    <w:p>
      <w:pPr>
        <w:pStyle w:val="Heading1"/>
        <w:spacing w:before="280" w:after="120" w:line="276" w:lineRule="auto"/>
      </w:pPr>
      <w:r>
        <w:rPr>
          <w:rFonts w:ascii="Calibri" w:hAnsi="Calibri"/>
          <w:b/>
          <w:color w:val="0F172A"/>
          <w:sz w:val="32"/>
        </w:rPr>
        <w:t>10. MÓDULO 6: REPORTES CONTABLES Y RESULTADO DE SALDOS</w:t>
      </w:r>
    </w:p>
    <w:p>
      <w:pPr>
        <w:spacing w:before="0" w:after="100" w:line="276" w:lineRule="auto"/>
      </w:pPr>
      <w:r>
        <w:rPr>
          <w:rFonts w:ascii="Calibri" w:hAnsi="Calibri"/>
          <w:i w:val="0"/>
          <w:color w:val="334155"/>
          <w:sz w:val="21"/>
        </w:rPr>
        <w:t>El generador de reportes contables consolida toda la actividad financiera de 'La Salsa de Ajo C.A.' en un formato ejecutivo, formal e institucional, listo para ser presentado ante la gerencia de la empresa y los evaluadores de la UPTAEB.</w:t>
      </w:r>
    </w:p>
    <w:p>
      <w:pPr>
        <w:pStyle w:val="Heading2"/>
        <w:spacing w:before="200" w:after="80" w:line="276" w:lineRule="auto"/>
      </w:pPr>
      <w:r>
        <w:rPr>
          <w:rFonts w:ascii="Calibri" w:hAnsi="Calibri"/>
          <w:b/>
          <w:color w:val="D97706"/>
          <w:sz w:val="26"/>
        </w:rPr>
        <w:t>10.1. Componentes del Reporte Formal</w:t>
      </w:r>
    </w:p>
    <w:p>
      <w:pPr>
        <w:pStyle w:val="ListBullet"/>
        <w:spacing w:before="0" w:after="60" w:line="276" w:lineRule="auto"/>
      </w:pPr>
      <w:r>
        <w:rPr>
          <w:rFonts w:ascii="Calibri" w:hAnsi="Calibri"/>
          <w:b/>
          <w:color w:val="0F172A"/>
          <w:sz w:val="20"/>
        </w:rPr>
        <w:t xml:space="preserve">Membrete Corporativo y Académico: </w:t>
      </w:r>
      <w:r>
        <w:rPr>
          <w:rFonts w:ascii="Calibri" w:hAnsi="Calibri"/>
          <w:color w:val="334155"/>
          <w:sz w:val="20"/>
        </w:rPr>
        <w:t>Nombre legal de la empresa, RIF (J-50284719-0), dirección fiscal en Duaca, acreditación del PNF en Contaduría Pública y Sección CO1413C.</w:t>
      </w:r>
    </w:p>
    <w:p>
      <w:pPr>
        <w:pStyle w:val="ListBullet"/>
        <w:spacing w:before="0" w:after="60" w:line="276" w:lineRule="auto"/>
      </w:pPr>
      <w:r>
        <w:rPr>
          <w:rFonts w:ascii="Calibri" w:hAnsi="Calibri"/>
          <w:b/>
          <w:color w:val="0F172A"/>
          <w:sz w:val="20"/>
        </w:rPr>
        <w:t xml:space="preserve">Resumen Ejecutivo de Saldos: </w:t>
      </w:r>
      <w:r>
        <w:rPr>
          <w:rFonts w:ascii="Calibri" w:hAnsi="Calibri"/>
          <w:color w:val="334155"/>
          <w:sz w:val="20"/>
        </w:rPr>
        <w:t>Consolidado de Total Ingresos, Total Egresos y Resultado de Saldos del Período en Dólares y Bolívares.</w:t>
      </w:r>
    </w:p>
    <w:p>
      <w:pPr>
        <w:pStyle w:val="ListBullet"/>
        <w:spacing w:before="0" w:after="60" w:line="276" w:lineRule="auto"/>
      </w:pPr>
      <w:r>
        <w:rPr>
          <w:rFonts w:ascii="Calibri" w:hAnsi="Calibri"/>
          <w:b/>
          <w:color w:val="0F172A"/>
          <w:sz w:val="20"/>
        </w:rPr>
        <w:t xml:space="preserve">Libro Detallado de Ventas: </w:t>
      </w:r>
      <w:r>
        <w:rPr>
          <w:rFonts w:ascii="Calibri" w:hAnsi="Calibri"/>
          <w:color w:val="334155"/>
          <w:sz w:val="20"/>
        </w:rPr>
        <w:t>Relación detallada de comprobantes emitidos (ID Ticket, Fecha/Hora, Método de pago, Cantidad de artículos, Subtotal y Total).</w:t>
      </w:r>
    </w:p>
    <w:p>
      <w:pPr>
        <w:pStyle w:val="ListBullet"/>
        <w:spacing w:before="0" w:after="60" w:line="276" w:lineRule="auto"/>
      </w:pPr>
      <w:r>
        <w:rPr>
          <w:rFonts w:ascii="Calibri" w:hAnsi="Calibri"/>
          <w:b/>
          <w:color w:val="0F172A"/>
          <w:sz w:val="20"/>
        </w:rPr>
        <w:t xml:space="preserve">Sección de Firmas de Aprobación: </w:t>
      </w:r>
      <w:r>
        <w:rPr>
          <w:rFonts w:ascii="Calibri" w:hAnsi="Calibri"/>
          <w:color w:val="334155"/>
          <w:sz w:val="20"/>
        </w:rPr>
        <w:t>Tres casillas de validación formal: 1) Mariangela (Propietaria / Responsable), 2) Equipo Investigador PNF Contaduría, 3) Prof. Félix Álvarez (Tutor Académico).</w:t>
      </w:r>
    </w:p>
    <w:p>
      <w:pPr>
        <w:pStyle w:val="Heading2"/>
        <w:spacing w:before="200" w:after="80" w:line="276" w:lineRule="auto"/>
      </w:pPr>
      <w:r>
        <w:rPr>
          <w:rFonts w:ascii="Calibri" w:hAnsi="Calibri"/>
          <w:b/>
          <w:color w:val="D97706"/>
          <w:sz w:val="26"/>
        </w:rPr>
        <w:t>10.2. Impresión Directa y Guardado en PDF</w:t>
      </w:r>
    </w:p>
    <w:p>
      <w:pPr>
        <w:spacing w:before="0" w:after="100" w:line="276" w:lineRule="auto"/>
      </w:pPr>
      <w:r>
        <w:rPr>
          <w:rFonts w:ascii="Calibri" w:hAnsi="Calibri"/>
          <w:i w:val="0"/>
          <w:color w:val="334155"/>
          <w:sz w:val="21"/>
        </w:rPr>
        <w:t>Al presionar el botón 'Imprimir / Guardar PDF', el navegador abre automáticamente la vista previa de impresión con estilos optimizados (ocultando el menú lateral y botones para dejar una hoja limpia y profesional). En la ventana de impresión, puede seleccionar su impresora física o la opción 'Guardar como PDF' para archivar digitalmente.</w:t>
      </w:r>
    </w:p>
    <w:p>
      <w:pPr>
        <w:pStyle w:val="Heading1"/>
        <w:spacing w:before="280" w:after="120" w:line="276" w:lineRule="auto"/>
      </w:pPr>
      <w:r>
        <w:rPr>
          <w:rFonts w:ascii="Calibri" w:hAnsi="Calibri"/>
          <w:b/>
          <w:color w:val="0F172A"/>
          <w:sz w:val="32"/>
        </w:rPr>
        <w:t>11. MÓDULO 7: AJUSTES, COPIAS DE SEGURIDAD Y RESTAURACIÓN</w:t>
      </w:r>
    </w:p>
    <w:p>
      <w:pPr>
        <w:spacing w:before="0" w:after="100" w:line="276" w:lineRule="auto"/>
      </w:pPr>
      <w:r>
        <w:rPr>
          <w:rFonts w:ascii="Calibri" w:hAnsi="Calibri"/>
          <w:i w:val="0"/>
          <w:color w:val="334155"/>
          <w:sz w:val="21"/>
        </w:rPr>
        <w:t>Este módulo concentra la parametrización del sistema, garantizando adaptabilidad en el tiempo y protección contra pérdida de información.</w:t>
      </w:r>
    </w:p>
    <w:p>
      <w:pPr>
        <w:pStyle w:val="Heading2"/>
        <w:spacing w:before="200" w:after="80" w:line="276" w:lineRule="auto"/>
      </w:pPr>
      <w:r>
        <w:rPr>
          <w:rFonts w:ascii="Calibri" w:hAnsi="Calibri"/>
          <w:b/>
          <w:color w:val="D97706"/>
          <w:sz w:val="26"/>
        </w:rPr>
        <w:t>11.1. Actualización de Parámetros y Tasa de Cambio</w:t>
      </w:r>
    </w:p>
    <w:p>
      <w:pPr>
        <w:pStyle w:val="ListBullet"/>
        <w:spacing w:before="0" w:after="60" w:line="276" w:lineRule="auto"/>
      </w:pPr>
      <w:r>
        <w:rPr>
          <w:rFonts w:ascii="Calibri" w:hAnsi="Calibri"/>
          <w:b/>
          <w:color w:val="0F172A"/>
          <w:sz w:val="20"/>
        </w:rPr>
        <w:t xml:space="preserve">Tasa de Cambio Oficial: </w:t>
      </w:r>
      <w:r>
        <w:rPr>
          <w:rFonts w:ascii="Calibri" w:hAnsi="Calibri"/>
          <w:color w:val="334155"/>
          <w:sz w:val="20"/>
        </w:rPr>
        <w:t>Permite fijar el valor de conversión oficial publicado por el BCV. Al presionar 'Guardar Parámetros', todos los precios de venta, subtotales, totales y reportes del sistema recalculan su valor en bolívares de inmediato.</w:t>
      </w:r>
    </w:p>
    <w:p>
      <w:pPr>
        <w:pStyle w:val="ListBullet"/>
        <w:spacing w:before="0" w:after="60" w:line="276" w:lineRule="auto"/>
      </w:pPr>
      <w:r>
        <w:rPr>
          <w:rFonts w:ascii="Calibri" w:hAnsi="Calibri"/>
          <w:b/>
          <w:color w:val="0F172A"/>
          <w:sz w:val="20"/>
        </w:rPr>
        <w:t xml:space="preserve">Datos Institucionales: </w:t>
      </w:r>
      <w:r>
        <w:rPr>
          <w:rFonts w:ascii="Calibri" w:hAnsi="Calibri"/>
          <w:color w:val="334155"/>
          <w:sz w:val="20"/>
        </w:rPr>
        <w:t>Permite editar el nombre comercial, número de RIF, nombre del propietario y miembros del equipo.</w:t>
      </w:r>
    </w:p>
    <w:p>
      <w:pPr>
        <w:pStyle w:val="ListBullet"/>
        <w:spacing w:before="0" w:after="60" w:line="276" w:lineRule="auto"/>
      </w:pPr>
      <w:r>
        <w:rPr>
          <w:rFonts w:ascii="Calibri" w:hAnsi="Calibri"/>
          <w:b/>
          <w:color w:val="0F172A"/>
          <w:sz w:val="20"/>
        </w:rPr>
        <w:t xml:space="preserve">PIN de Seguridad: </w:t>
      </w:r>
      <w:r>
        <w:rPr>
          <w:rFonts w:ascii="Calibri" w:hAnsi="Calibri"/>
          <w:color w:val="334155"/>
          <w:sz w:val="20"/>
        </w:rPr>
        <w:t>Permite renovar la clave de 4 dígitos de la pantalla de bloqueo.</w:t>
      </w:r>
    </w:p>
    <w:p>
      <w:pPr>
        <w:pStyle w:val="Heading2"/>
        <w:spacing w:before="200" w:after="80" w:line="276" w:lineRule="auto"/>
      </w:pPr>
      <w:r>
        <w:rPr>
          <w:rFonts w:ascii="Calibri" w:hAnsi="Calibri"/>
          <w:b/>
          <w:color w:val="D97706"/>
          <w:sz w:val="26"/>
        </w:rPr>
        <w:t>11.2. Copias de Seguridad (Backup) y Restauración</w:t>
      </w:r>
    </w:p>
    <w:p>
      <w:pPr>
        <w:spacing w:before="0" w:after="100" w:line="276" w:lineRule="auto"/>
      </w:pPr>
      <w:r>
        <w:rPr>
          <w:rFonts w:ascii="Calibri" w:hAnsi="Calibri"/>
          <w:b/>
          <w:color w:val="0F172A"/>
          <w:sz w:val="21"/>
        </w:rPr>
        <w:t xml:space="preserve">Protocolo de Respaldo: </w:t>
      </w:r>
      <w:r>
        <w:rPr>
          <w:rFonts w:ascii="Calibri" w:hAnsi="Calibri"/>
          <w:i w:val="0"/>
          <w:color w:val="334155"/>
          <w:sz w:val="21"/>
        </w:rPr>
        <w:t>Para garantizar que los datos contables nunca se pierdan ante una falla de la laptop:</w:t>
      </w:r>
    </w:p>
    <w:p>
      <w:pPr>
        <w:pStyle w:val="ListBullet"/>
        <w:spacing w:before="0" w:after="60" w:line="276" w:lineRule="auto"/>
      </w:pPr>
      <w:r>
        <w:rPr>
          <w:rFonts w:ascii="Calibri" w:hAnsi="Calibri"/>
          <w:b/>
          <w:color w:val="0F172A"/>
          <w:sz w:val="20"/>
        </w:rPr>
        <w:t xml:space="preserve">Descargar Copia de Seguridad: </w:t>
      </w:r>
      <w:r>
        <w:rPr>
          <w:rFonts w:ascii="Calibri" w:hAnsi="Calibri"/>
          <w:color w:val="334155"/>
          <w:sz w:val="20"/>
        </w:rPr>
        <w:t>Genera y descarga un archivo seguro (.json) con todos los productos, ventas, gastos, cierres y configuraciones con fecha en el nombre.</w:t>
      </w:r>
    </w:p>
    <w:p>
      <w:pPr>
        <w:pStyle w:val="ListBullet"/>
        <w:spacing w:before="0" w:after="60" w:line="276" w:lineRule="auto"/>
      </w:pPr>
      <w:r>
        <w:rPr>
          <w:rFonts w:ascii="Calibri" w:hAnsi="Calibri"/>
          <w:b/>
          <w:color w:val="0F172A"/>
          <w:sz w:val="20"/>
        </w:rPr>
        <w:t xml:space="preserve">Restaurar Copia de Seguridad: </w:t>
      </w:r>
      <w:r>
        <w:rPr>
          <w:rFonts w:ascii="Calibri" w:hAnsi="Calibri"/>
          <w:color w:val="334155"/>
          <w:sz w:val="20"/>
        </w:rPr>
        <w:t>Permite cargar un archivo de respaldo previo en cualquier otra computadora y recuperar al instante todo el historial del negocio.</w:t>
      </w:r>
    </w:p>
    <w:p>
      <w:pPr>
        <w:pStyle w:val="ListBullet"/>
        <w:spacing w:before="0" w:after="60" w:line="276" w:lineRule="auto"/>
      </w:pPr>
      <w:r>
        <w:rPr>
          <w:rFonts w:ascii="Calibri" w:hAnsi="Calibri"/>
          <w:b/>
          <w:color w:val="0F172A"/>
          <w:sz w:val="20"/>
        </w:rPr>
        <w:t xml:space="preserve">Restablecer Datos de Demostración: </w:t>
      </w:r>
      <w:r>
        <w:rPr>
          <w:rFonts w:ascii="Calibri" w:hAnsi="Calibri"/>
          <w:color w:val="334155"/>
          <w:sz w:val="20"/>
        </w:rPr>
        <w:t>Limpia la memoria y vuelve a cargar los rubros y ventas de ejemplo iniciales (útil para nuevas demostraciones académicas).</w:t>
      </w:r>
    </w:p>
    <w:p>
      <w:pPr>
        <w:pStyle w:val="Heading1"/>
        <w:spacing w:before="280" w:after="120" w:line="276" w:lineRule="auto"/>
      </w:pPr>
      <w:r>
        <w:rPr>
          <w:rFonts w:ascii="Calibri" w:hAnsi="Calibri"/>
          <w:b/>
          <w:color w:val="0F172A"/>
          <w:sz w:val="32"/>
        </w:rPr>
        <w:t>12. PREGUNTAS FRECUENTES, ATAJOS Y BUENAS PRÁCTICAS</w:t>
      </w:r>
    </w:p>
    <w:tbl>
      <w:tblPr>
        <w:tblW w:type="auto" w:w="0"/>
        <w:jc w:val="center"/>
        <w:tblLayout w:type="fixed"/>
        <w:tblLook w:firstColumn="1" w:firstRow="1" w:lastColumn="0" w:lastRow="0" w:noHBand="0" w:noVBand="1" w:val="04A0"/>
      </w:tblPr>
      <w:tblGrid>
        <w:gridCol w:w="4824"/>
        <w:gridCol w:w="4824"/>
      </w:tblGrid>
      <w:tr>
        <w:tc>
          <w:tcPr>
            <w:tcW w:type="dxa" w:w="3600"/>
            <w:shd w:fill="0F172A"/>
            <w:tcMar>
              <w:top w:w="110" w:type="dxa"/>
              <w:bottom w:w="110" w:type="dxa"/>
              <w:left w:w="130" w:type="dxa"/>
              <w:right w:w="130" w:type="dxa"/>
            </w:tcMar>
          </w:tcPr>
          <w:p>
            <w:pPr>
              <w:spacing w:before="0" w:after="0"/>
              <w:jc w:val="center"/>
            </w:pPr>
            <w:r>
              <w:rPr>
                <w:rFonts w:ascii="Calibri" w:hAnsi="Calibri"/>
                <w:b/>
                <w:color w:val="FFFFFF"/>
                <w:sz w:val="19"/>
              </w:rPr>
              <w:t>Pregunta / Situación</w:t>
            </w:r>
          </w:p>
        </w:tc>
        <w:tc>
          <w:tcPr>
            <w:tcW w:type="dxa" w:w="6048"/>
            <w:shd w:fill="0F172A"/>
            <w:tcMar>
              <w:top w:w="110" w:type="dxa"/>
              <w:bottom w:w="110" w:type="dxa"/>
              <w:left w:w="130" w:type="dxa"/>
              <w:right w:w="130" w:type="dxa"/>
            </w:tcMar>
          </w:tcPr>
          <w:p>
            <w:pPr>
              <w:spacing w:before="0" w:after="0"/>
              <w:jc w:val="center"/>
            </w:pPr>
            <w:r>
              <w:rPr>
                <w:rFonts w:ascii="Calibri" w:hAnsi="Calibri"/>
                <w:b/>
                <w:color w:val="FFFFFF"/>
                <w:sz w:val="19"/>
              </w:rPr>
              <w:t>Respuesta / Solución Operativa</w:t>
            </w:r>
          </w:p>
        </w:tc>
      </w:tr>
      <w:tr>
        <w:tc>
          <w:tcPr>
            <w:tcW w:type="dxa" w:w="360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¿Qué pasa si se cierra el navegador o se apaga la laptop?</w:t>
            </w:r>
          </w:p>
        </w:tc>
        <w:tc>
          <w:tcPr>
            <w:tcW w:type="dxa" w:w="604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Nada. La base de datos LocalStorage guarda cada transacción al instante. Al volver a abrir 'index.html', todo seguirá exactamente igual.</w:t>
            </w:r>
          </w:p>
        </w:tc>
      </w:tr>
      <w:tr>
        <w:tc>
          <w:tcPr>
            <w:tcW w:type="dxa" w:w="360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¿Cómo se respalda antes de la defensa del sábado?</w:t>
            </w:r>
          </w:p>
        </w:tc>
        <w:tc>
          <w:tcPr>
            <w:tcW w:type="dxa" w:w="604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Vaya a Ajustes y descargue la Copia de Seguridad (.json). Guárdela en un pendrive o envíela a su correo. Así podrá restaurarla en la laptop de la universidad en 5 segundos.</w:t>
            </w:r>
          </w:p>
        </w:tc>
      </w:tr>
      <w:tr>
        <w:tc>
          <w:tcPr>
            <w:tcW w:type="dxa" w:w="3600"/>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¿Se pueden vender fracciones (ej. 1.5 Kg de queso)?</w:t>
            </w:r>
          </w:p>
        </w:tc>
        <w:tc>
          <w:tcPr>
            <w:tcW w:type="dxa" w:w="6048"/>
            <w:shd w:fill="FFFFFF"/>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Sí. El sistema admite decimales con punto tanto en cantidades como en precios.</w:t>
            </w:r>
          </w:p>
        </w:tc>
      </w:tr>
      <w:tr>
        <w:tc>
          <w:tcPr>
            <w:tcW w:type="dxa" w:w="3600"/>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¿Cómo se cambia de sección rápidamente?</w:t>
            </w:r>
          </w:p>
        </w:tc>
        <w:tc>
          <w:tcPr>
            <w:tcW w:type="dxa" w:w="6048"/>
            <w:shd w:fill="F8FAFC"/>
            <w:tcMar>
              <w:top w:w="85" w:type="dxa"/>
              <w:bottom w:w="85" w:type="dxa"/>
              <w:left w:w="130" w:type="dxa"/>
              <w:right w:w="130" w:type="dxa"/>
            </w:tcMar>
            <w:tcBorders>
              <w:top w:val="single" w:sz="4" w:space="0" w:color="E2E8F0"/>
              <w:bottom w:val="single" w:sz="4" w:space="0" w:color="E2E8F0"/>
              <w:left w:val="none" w:sz="0" w:space="0" w:color="auto"/>
              <w:right w:val="none" w:sz="0" w:space="0" w:color="auto"/>
            </w:tcBorders>
          </w:tcPr>
          <w:p>
            <w:pPr>
              <w:spacing w:before="0" w:after="0" w:line="264" w:lineRule="auto"/>
            </w:pPr>
            <w:r>
              <w:rPr>
                <w:rFonts w:ascii="Calibri" w:hAnsi="Calibri"/>
                <w:color w:val="334155"/>
                <w:sz w:val="18"/>
              </w:rPr>
              <w:t>Haga clic en cualquiera de las 7 opciones del menú lateral. No requiere guardar antes de cambiar de pestaña.</w:t>
            </w:r>
          </w:p>
        </w:tc>
      </w:tr>
    </w:tbl>
    <w:p>
      <w:pPr>
        <w:spacing w:after="280"/>
      </w:pPr>
    </w:p>
    <w:tbl>
      <w:tblPr>
        <w:tblW w:type="auto" w:w="0"/>
        <w:jc w:val="center"/>
        <w:tblLayout w:type="fixed"/>
        <w:tblLook w:firstColumn="1" w:firstRow="1" w:lastColumn="0" w:lastRow="0" w:noHBand="0" w:noVBand="1" w:val="04A0"/>
      </w:tblPr>
      <w:tblGrid>
        <w:gridCol w:w="9648"/>
      </w:tblGrid>
      <w:tr>
        <w:tc>
          <w:tcPr>
            <w:tcW w:type="dxa" w:w="9648"/>
            <w:shd w:fill="FEF3C7"/>
            <w:tcMar>
              <w:top w:w="130" w:type="dxa"/>
              <w:bottom w:w="130" w:type="dxa"/>
              <w:left w:w="200" w:type="dxa"/>
              <w:right w:w="180" w:type="dxa"/>
            </w:tcMar>
            <w:tcBorders>
              <w:top w:val="none" w:sz="0" w:space="0" w:color="auto"/>
              <w:bottom w:val="none" w:sz="0" w:space="0" w:color="auto"/>
              <w:left w:val="single" w:sz="24" w:space="0" w:color="D97706"/>
              <w:right w:val="none" w:sz="0" w:space="0" w:color="auto"/>
            </w:tcBorders>
          </w:tcPr>
          <w:p>
            <w:pPr>
              <w:spacing w:before="0" w:after="40" w:line="276" w:lineRule="auto"/>
            </w:pPr>
            <w:r>
              <w:rPr>
                <w:rFonts w:ascii="Calibri" w:hAnsi="Calibri"/>
                <w:b/>
                <w:color w:val="0F172A"/>
                <w:sz w:val="19"/>
              </w:rPr>
              <w:t xml:space="preserve">📌 RECOMENDACIÓN DOCENTE PARA EL DÍA DE LA EVALUACIÓN </w:t>
            </w:r>
            <w:r>
              <w:rPr>
                <w:rFonts w:ascii="Calibri" w:hAnsi="Calibri"/>
                <w:color w:val="334155"/>
                <w:sz w:val="19"/>
              </w:rPr>
              <w:t>Recomendación para la defensa con el Prof. Félix Álvarez: Lleve la laptop con la batería cargada al 100%, cargador, extensión eléctrica y pruebe con antelación la proyección en el televisor o video beam del aula asignada.</w:t>
            </w:r>
          </w:p>
        </w:tc>
      </w:tr>
    </w:tbl>
    <w:p>
      <w:pPr>
        <w:spacing w:after="40"/>
      </w:pPr>
    </w:p>
    <w:sectPr w:rsidR="00FC693F" w:rsidRPr="0006063C" w:rsidSect="00034616">
      <w:headerReference w:type="default" r:id="rId9"/>
      <w:footerReference w:type="default" r:id="rId10"/>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4748B"/>
        <w:sz w:val="17"/>
      </w:rPr>
      <w:t>PNF Contaduría Pública • Trayecto 2 • Sección CO1413C • UPTAEB</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64748B"/>
        <w:sz w:val="17"/>
      </w:rPr>
      <w:t>LA SALSA DE AJO C.A.  |  MANUAL DE USUARIO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